
<file path=[Content_Types].xml><?xml version="1.0" encoding="utf-8"?>
<Types xmlns="http://schemas.openxmlformats.org/package/2006/content-types">
  <Default Extension="jpg" ContentType="image/jpeg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AO JUÍZO DA 20ª VARA DO SISTEMA DOS JUIZADOS ESPECIAIS DO CONSUMIDOR DA COMARCA DE SALVADOR – BA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Processo n.º: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0133250-09.2026.8.05.0001 (PROJUDI/TJBA)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Ação: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Obrigação de Fazer c/c Danos Materiais e Indenização por Danos Morais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Recorrente: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SIMONE MURTA MARTINS (advogada em causa própria)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Recorridas: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240" w:after="24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RECURSO INOMINADO, COM PEDIDO DE GRATUIDADE DE JUSTIÇA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SIMONE MURTA MARTINS</w:t>
      </w:r>
      <w:r>
        <w:rPr>
          <w:rFonts w:ascii="Arial" w:eastAsia="Arial" w:hAnsi="Arial" w:cs="Arial"/>
          <w:color w:val="000000"/>
        </w:rPr>
        <w:t xml:space="preserve">, já qualificada nos autos, advogada postulante em causa própria (art. 103, parágrafo único, do CPC), inconformada com a sentença publicada em 29/09/2026, que extinguiu o processo sem resolução do mérito quanto aos pedidos de substituição do produto e de restituição e </w:t>
      </w:r>
      <w:r>
        <w:rPr>
          <w:rFonts w:ascii="Arial" w:eastAsia="Arial" w:hAnsi="Arial" w:cs="Arial"/>
          <w:b/>
          <w:bCs/>
          <w:color w:val="000000"/>
        </w:rPr>
        <w:t xml:space="preserve">julgou improcedente o pedido de indenização por danos morais</w:t>
      </w:r>
      <w:r>
        <w:rPr>
          <w:rFonts w:ascii="Arial" w:eastAsia="Arial" w:hAnsi="Arial" w:cs="Arial"/>
          <w:color w:val="000000"/>
        </w:rPr>
        <w:t xml:space="preserve">, vem, com fundamento nos arts. 41 e 42 da Lei n.º 9.099/1995, interpor </w:t>
      </w:r>
      <w:r>
        <w:rPr>
          <w:rFonts w:ascii="Arial" w:eastAsia="Arial" w:hAnsi="Arial" w:cs="Arial"/>
          <w:b/>
          <w:bCs/>
          <w:color w:val="000000"/>
        </w:rPr>
        <w:t xml:space="preserve">RECURSO INOMINADO</w:t>
      </w:r>
      <w:r>
        <w:rPr>
          <w:rFonts w:ascii="Arial" w:eastAsia="Arial" w:hAnsi="Arial" w:cs="Arial"/>
          <w:color w:val="000000"/>
        </w:rPr>
        <w:t xml:space="preserve"> para a Turma Recursal, pelas razões a seguir, requerendo o seu recebimento e a remessa dos autos ao Colegiado.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 – DA TEMPESTIVIDADE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foi disponibilizada no Diário da Justiça Eletrônico em 28/09/2026 e publicada em 29/09/2026. O prazo de 10 (dez) dias úteis (arts. 42 e 12-A da Lei n.º 9.099/1995) está em curso, sendo tempestivo o recurso. A Recorrente não impugna a extinção parcial do processo por perda superveniente do objeto, que ela própria reconheceu na réplica. O recurso se limita à </w:t>
      </w:r>
      <w:r>
        <w:rPr>
          <w:rFonts w:ascii="Arial" w:eastAsia="Arial" w:hAnsi="Arial" w:cs="Arial"/>
          <w:b/>
          <w:bCs/>
          <w:color w:val="000000"/>
        </w:rPr>
        <w:t xml:space="preserve">improcedência do pedido de danos morais</w:t>
      </w:r>
      <w:r>
        <w:rPr>
          <w:rFonts w:ascii="Arial" w:eastAsia="Arial" w:hAnsi="Arial" w:cs="Arial"/>
          <w:color w:val="000000"/>
        </w:rPr>
        <w:t xml:space="preserve">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II – DO PEDIDO DE GRATUIDADE DE JUSTIÇA E DA DISPENSA DE PREPARO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Em primeiro grau, o acesso ao Juizado independe do pagamento de custas (art. 54 da Lei n.º 9.099/1995). O preparo recursal, contudo, compreende todas as despesas processuais e tem </w:t>
      </w:r>
      <w:r>
        <w:rPr>
          <w:rFonts w:ascii="Arial" w:eastAsia="Arial" w:hAnsi="Arial" w:cs="Arial"/>
          <w:b/>
          <w:bCs/>
          <w:color w:val="000000"/>
        </w:rPr>
        <w:t xml:space="preserve">ressalva expressa para a hipótese de assistência judiciária gratuita</w:t>
      </w:r>
      <w:r>
        <w:rPr>
          <w:rFonts w:ascii="Arial" w:eastAsia="Arial" w:hAnsi="Arial" w:cs="Arial"/>
          <w:color w:val="000000"/>
        </w:rPr>
        <w:t xml:space="preserve"> (art. 54, parágrafo único, da Lei n.º 9.099/1995). A gratuidade pode ser requerida em recurso (art. 99, caput, do CPC), cuja alegação de insuficiência, deduzida por pessoa natural, presume-se verdadeira (art. 99, § 3º). O fato de a parte ser advogada e postular em causa própria não impede a concessão do benefício (art. 99, § 4º).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Recorrente expõe, com transparência, </w:t>
      </w:r>
      <w:r>
        <w:rPr>
          <w:rFonts w:ascii="Arial" w:eastAsia="Arial" w:hAnsi="Arial" w:cs="Arial"/>
          <w:b/>
          <w:bCs/>
          <w:color w:val="000000"/>
        </w:rPr>
        <w:t xml:space="preserve">todas as suas fontes de renda e o seu quadro financeiro</w:t>
      </w:r>
      <w:r>
        <w:rPr>
          <w:rFonts w:ascii="Arial" w:eastAsia="Arial" w:hAnsi="Arial" w:cs="Arial"/>
          <w:color w:val="000000"/>
        </w:rPr>
        <w:t xml:space="preserve">, para que o Juízo aprecie o pedido com base em documentos e não em mera alegação. Em cumprimento à advertência final da sentença, junta: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(i) </w:t>
      </w:r>
      <w:r>
        <w:rPr>
          <w:rFonts w:ascii="Arial" w:eastAsia="Arial" w:hAnsi="Arial" w:cs="Arial"/>
          <w:b/>
          <w:bCs/>
          <w:color w:val="000000"/>
        </w:rPr>
        <w:t xml:space="preserve">Doc. 1</w:t>
      </w:r>
      <w:r>
        <w:rPr>
          <w:rFonts w:ascii="Arial" w:eastAsia="Arial" w:hAnsi="Arial" w:cs="Arial"/>
          <w:color w:val="000000"/>
        </w:rPr>
        <w:t xml:space="preserve"> – declaração de hipossuficiência econômica;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(ii) </w:t>
      </w:r>
      <w:r>
        <w:rPr>
          <w:rFonts w:ascii="Arial" w:eastAsia="Arial" w:hAnsi="Arial" w:cs="Arial"/>
          <w:b/>
          <w:bCs/>
          <w:color w:val="000000"/>
        </w:rPr>
        <w:t xml:space="preserve">Doc. 2</w:t>
      </w:r>
      <w:r>
        <w:rPr>
          <w:rFonts w:ascii="Arial" w:eastAsia="Arial" w:hAnsi="Arial" w:cs="Arial"/>
          <w:color w:val="000000"/>
        </w:rPr>
        <w:t xml:space="preserve"> – comprovantes da atividade advocatícia: cartão CNPJ da Murta Martins Sociedade Individual de Advocacia (situação ATIVA), documentos de arrecadação do Simples Nacional das competências 06, 07 e 08/2026 e relatórios de recebíveis de junho, julho e agosto de 2026;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(iii) </w:t>
      </w:r>
      <w:r>
        <w:rPr>
          <w:rFonts w:ascii="Arial" w:eastAsia="Arial" w:hAnsi="Arial" w:cs="Arial"/>
          <w:b/>
          <w:bCs/>
          <w:color w:val="000000"/>
        </w:rPr>
        <w:t xml:space="preserve">Doc. 3</w:t>
      </w:r>
      <w:r>
        <w:rPr>
          <w:rFonts w:ascii="Arial" w:eastAsia="Arial" w:hAnsi="Arial" w:cs="Arial"/>
          <w:color w:val="000000"/>
        </w:rPr>
        <w:t xml:space="preserve"> – Declaração de Ajuste Anual do IRPF (exercício 2026, ano-calendário 2025) e contracheque de agosto/2026 da Recorrente, servidora pública estadual.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a) Renda como servidora pública.</w:t>
      </w:r>
      <w:r>
        <w:rPr>
          <w:rFonts w:ascii="Arial" w:eastAsia="Arial" w:hAnsi="Arial" w:cs="Arial"/>
          <w:color w:val="000000"/>
        </w:rPr>
        <w:t xml:space="preserve"> A Recorrente é </w:t>
      </w:r>
      <w:r>
        <w:rPr>
          <w:rFonts w:ascii="Arial" w:eastAsia="Arial" w:hAnsi="Arial" w:cs="Arial"/>
          <w:b/>
          <w:bCs/>
          <w:color w:val="000000"/>
        </w:rPr>
        <w:t xml:space="preserve">enfermeira, servidora pública estadual efetiva da Secretaria da Saúde do Estado da Bahia (SESAB)</w:t>
      </w:r>
      <w:r>
        <w:rPr>
          <w:rFonts w:ascii="Arial" w:eastAsia="Arial" w:hAnsi="Arial" w:cs="Arial"/>
          <w:color w:val="000000"/>
        </w:rPr>
        <w:t xml:space="preserve">, matrícula n.º 19446560, vínculo que mantém e que não deixou para exercer a advocacia. Segundo o IRPF (ano-calendário 2025), os rendimentos tributáveis recebidos da Secretaria da Saúde somaram R$ 106.680,46, além do 13º salário de R$ 6.379,72. O contracheque de agosto/2026 registra vantagens de R$ 9.736,57 e descontos de R$ 6.156,52, dos quais R$ 1.317,06 de IRRF, R$ 1.317,59 de contribuição previdenciária, </w:t>
      </w:r>
      <w:r>
        <w:rPr>
          <w:rFonts w:ascii="Arial" w:eastAsia="Arial" w:hAnsi="Arial" w:cs="Arial"/>
          <w:b/>
          <w:bCs/>
          <w:color w:val="000000"/>
        </w:rPr>
        <w:t xml:space="preserve">R$ 2.092,62 de Planserv</w:t>
      </w:r>
      <w:r>
        <w:rPr>
          <w:rFonts w:ascii="Arial" w:eastAsia="Arial" w:hAnsi="Arial" w:cs="Arial"/>
          <w:color w:val="000000"/>
        </w:rPr>
        <w:t xml:space="preserve"> (assistência à saúde, dependente, cônjuge, plano especial e parcelas de risco) e R$ 1.429,25 de empréstimo consignado (parcela 77/96), restando o </w:t>
      </w:r>
      <w:r>
        <w:rPr>
          <w:rFonts w:ascii="Arial" w:eastAsia="Arial" w:hAnsi="Arial" w:cs="Arial"/>
          <w:b/>
          <w:bCs/>
          <w:color w:val="000000"/>
        </w:rPr>
        <w:t xml:space="preserve">valor líquido de R$ 3.580,05</w:t>
      </w:r>
      <w:r>
        <w:rPr>
          <w:rFonts w:ascii="Arial" w:eastAsia="Arial" w:hAnsi="Arial" w:cs="Arial"/>
          <w:color w:val="000000"/>
        </w:rPr>
        <w:t xml:space="preserve">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b) Renda da advocacia.</w:t>
      </w:r>
      <w:r>
        <w:rPr>
          <w:rFonts w:ascii="Arial" w:eastAsia="Arial" w:hAnsi="Arial" w:cs="Arial"/>
          <w:color w:val="000000"/>
        </w:rPr>
        <w:t xml:space="preserve"> A Recorrente exerce a advocacia por meio de sociedade individual aberta em 15/08/2023. Conforme os relatórios de recebíveis do período (Doc. 2), a receita da sociedade, já deduzidos os repasses a clientes e a terceiros, foi de R$ 6.530,63 em junho, R$ 5.292,31 em julho e R$ 5.307,31 em agosto de 2026, </w:t>
      </w:r>
      <w:r>
        <w:rPr>
          <w:rFonts w:ascii="Arial" w:eastAsia="Arial" w:hAnsi="Arial" w:cs="Arial"/>
          <w:b/>
          <w:bCs/>
          <w:color w:val="000000"/>
        </w:rPr>
        <w:t xml:space="preserve">média aproximada de R$ 5.700,00 por mês</w:t>
      </w:r>
      <w:r>
        <w:rPr>
          <w:rFonts w:ascii="Arial" w:eastAsia="Arial" w:hAnsi="Arial" w:cs="Arial"/>
          <w:color w:val="000000"/>
        </w:rPr>
        <w:t xml:space="preserve">. Esse valor é anterior aos tributos (Simples Nacional de R$ 264,47 a R$ 471,00 por mês) e às despesas da atividade, como as de escritório e de divulgação, que em agosto/2026 totalizaram R$ 1.900,00. A advocacia, portanto, </w:t>
      </w:r>
      <w:r>
        <w:rPr>
          <w:rFonts w:ascii="Arial" w:eastAsia="Arial" w:hAnsi="Arial" w:cs="Arial"/>
          <w:b/>
          <w:bCs/>
          <w:color w:val="000000"/>
        </w:rPr>
        <w:t xml:space="preserve">não sustenta a Recorrente</w:t>
      </w:r>
      <w:r>
        <w:rPr>
          <w:rFonts w:ascii="Arial" w:eastAsia="Arial" w:hAnsi="Arial" w:cs="Arial"/>
          <w:color w:val="000000"/>
        </w:rPr>
        <w:t xml:space="preserve">, que a exerce como atividade complementar e ainda em consolidação.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c) Reserva financeira.</w:t>
      </w:r>
      <w:r>
        <w:rPr>
          <w:rFonts w:ascii="Arial" w:eastAsia="Arial" w:hAnsi="Arial" w:cs="Arial"/>
          <w:color w:val="000000"/>
        </w:rPr>
        <w:t xml:space="preserve"> Por honestidade, a Recorrente informa que o saldo da conta da sociedade de advocacia na plataforma de cobranças (Asaas) era de R$ 32.744,95 em 31/08/2026. Trata-se de valor que a Recorrente afirma ter acumulado ao longo de cerca de três anos de atividade </w:t>
      </w:r>
      <w:r>
        <w:rPr>
          <w:rFonts w:ascii="Arial" w:eastAsia="Arial" w:hAnsi="Arial" w:cs="Arial"/>
          <w:b/>
          <w:bCs/>
          <w:color w:val="000000"/>
        </w:rPr>
        <w:t xml:space="preserve">[CONFERIR: data de abertura da conta Asaas]</w:t>
      </w:r>
      <w:r>
        <w:rPr>
          <w:rFonts w:ascii="Arial" w:eastAsia="Arial" w:hAnsi="Arial" w:cs="Arial"/>
          <w:color w:val="000000"/>
        </w:rPr>
        <w:t xml:space="preserve">, que integra o caixa da sociedade. O patrimônio pessoal declarado no IRPF, em 31/12/2025, era de R$ 17.172,41, em saldos bancários.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d) Encargos.</w:t>
      </w:r>
      <w:r>
        <w:rPr>
          <w:rFonts w:ascii="Arial" w:eastAsia="Arial" w:hAnsi="Arial" w:cs="Arial"/>
          <w:color w:val="000000"/>
        </w:rPr>
        <w:t xml:space="preserve"> A Recorrente tem dois filhos menores dependentes. O IRPF registra, no ano-calendário 2025, despesas com instrução dos dois dependentes em estabelecimento particular (R$ 15.767,00 e R$ 15.150,00) e despesas médicas dedutíveis de R$ 26.802,95. A Recorrente acrescenta, sem comprovação documental, despesas ordinárias de alimentação e farmácia, que declara em valor estimado no Doc. 1.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Assim, embora a Recorrente não seja pessoa sem rendimentos, a renda líquida que lhe sobra do salário e da advocacia, comprometida com plano de saúde, empréstimo consignado, educação e saúde dos filhos, é limitada, e o custeio do preparo e de eventual sucumbência representaria encargo que afeta o sustento próprio e familiar. Afirmações em sentido diverso são afastadas pelos documentos ora juntados, que a Recorrente submete integralmente à apreciação do Juízo (art. 99, § 2º, do CPC).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Requer, assim, a concessão da gratuidade de justiça para o recurso, com a dispensa do preparo e das demais despesas processuais, inclusive as decorrentes de eventual sucumbência (art. 98, § 3º, do CPC). Se o pedido for indeferido, requer a fixação de prazo para o recolhimento do preparo, nos termos do art. 99, § 7º, do CPC.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III – DA SÍNTESE DA DEMANDA E DA SENTENÇA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Recorrente comprou, em 01/03/2026, no site da Ferreira Costa, quatro cadeiras fabricadas pela Herval (R$ 399,90 cada). Ao montá-las, constatou vício oculto em uma unidade: o parafuso rompeu-se no interior da estrutura de madeira. As duas Recorridas não solucionaram o problema e se remeteram mutuamente a responsabilidade. A ação foi ajuizada em 18/06/2026 e pediu a substituição do produto, subsidiariamente a restituição do valor e indenização por danos morais de R$ 10.000,00, pela perda do tempo útil (desvio produtivo).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cadeira foi trocada em 15/07/2026, </w:t>
      </w:r>
      <w:r>
        <w:rPr>
          <w:rFonts w:ascii="Arial" w:eastAsia="Arial" w:hAnsi="Arial" w:cs="Arial"/>
          <w:b/>
          <w:bCs/>
          <w:color w:val="000000"/>
        </w:rPr>
        <w:t xml:space="preserve">27 dias depois do ajuizamento</w:t>
      </w:r>
      <w:r>
        <w:rPr>
          <w:rFonts w:ascii="Arial" w:eastAsia="Arial" w:hAnsi="Arial" w:cs="Arial"/>
          <w:color w:val="000000"/>
        </w:rPr>
        <w:t xml:space="preserve">. A Recorrente reconheceu, na réplica, a perda parcial do objeto, e manteve o pedido indenizatório. A sentença julgou improcedente o pedido de danos morais sob os seguintes fundamentos: (i) as rés, “ao tomarem ciência definitiva da demanda e após o regular trâmite das tratativas entre lojista e fabricante, procederam à efetiva substituição do bem viciado”; (ii) a situação “traduz-se em dissabor inerente às relações comerciais cotidianas”; e (iii) a controvérsia “restou solucionada na via administrativa/judicial sem prejuízos materiais definitivos à adquirente”.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 – DAS RAZÕES DO RECURSO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IV.1 – Cronologia: a troca ocorreu 27 dias depois do ajuizamento e 104 dias depois da reclamação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As datas abaixo constam dos documentos dos autos e das próprias contestações: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a) </w:t>
      </w:r>
      <w:r>
        <w:rPr>
          <w:rFonts w:ascii="Arial" w:eastAsia="Arial" w:hAnsi="Arial" w:cs="Arial"/>
          <w:b/>
          <w:bCs/>
          <w:color w:val="000000"/>
        </w:rPr>
        <w:t xml:space="preserve">30/03/2026</w:t>
      </w:r>
      <w:r>
        <w:rPr>
          <w:rFonts w:ascii="Arial" w:eastAsia="Arial" w:hAnsi="Arial" w:cs="Arial"/>
          <w:color w:val="000000"/>
        </w:rPr>
        <w:t xml:space="preserve"> – primeiro contato da Recorrente, pelo WhatsApp da loja online do grupo Herval, relatando o defeito; recusa e redirecionamento;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b) </w:t>
      </w:r>
      <w:r>
        <w:rPr>
          <w:rFonts w:ascii="Arial" w:eastAsia="Arial" w:hAnsi="Arial" w:cs="Arial"/>
          <w:b/>
          <w:bCs/>
          <w:color w:val="000000"/>
        </w:rPr>
        <w:t xml:space="preserve">02/04/2026</w:t>
      </w:r>
      <w:r>
        <w:rPr>
          <w:rFonts w:ascii="Arial" w:eastAsia="Arial" w:hAnsi="Arial" w:cs="Arial"/>
          <w:color w:val="000000"/>
        </w:rPr>
        <w:t xml:space="preserve"> – reclamação à Ferreira Costa (ticket n.º 2031671). Resposta do SAC no mesmo dia: “Sua troca/devolução não poderá ser realizada porque o produto não atendeu as exigências necessárias conforme nossa política de devolução”, com base no prazo de 7 dias corridos. A Recorrente respondeu, esclarecendo tratar-se de vício oculto (art. 26, § 3º, do CDC), </w:t>
      </w:r>
      <w:r>
        <w:rPr>
          <w:rFonts w:ascii="Arial" w:eastAsia="Arial" w:hAnsi="Arial" w:cs="Arial"/>
          <w:b/>
          <w:bCs/>
          <w:color w:val="000000"/>
        </w:rPr>
        <w:t xml:space="preserve">sem retorno</w:t>
      </w:r>
      <w:r>
        <w:rPr>
          <w:rFonts w:ascii="Arial" w:eastAsia="Arial" w:hAnsi="Arial" w:cs="Arial"/>
          <w:color w:val="000000"/>
        </w:rPr>
        <w:t xml:space="preserve">. No mesmo dia, e-mail ao fabricante, também sem resposta;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c) </w:t>
      </w:r>
      <w:r>
        <w:rPr>
          <w:rFonts w:ascii="Arial" w:eastAsia="Arial" w:hAnsi="Arial" w:cs="Arial"/>
          <w:b/>
          <w:bCs/>
          <w:color w:val="000000"/>
        </w:rPr>
        <w:t xml:space="preserve">08/04/2026</w:t>
      </w:r>
      <w:r>
        <w:rPr>
          <w:rFonts w:ascii="Arial" w:eastAsia="Arial" w:hAnsi="Arial" w:cs="Arial"/>
          <w:color w:val="000000"/>
        </w:rPr>
        <w:t xml:space="preserve"> – a assistência técnica da Herval mandou a consumidora “direcionar-se até a loja” e informou que a fábrica só atende diretamente compras feitas em sites como “Casas Bahia, Extra e Koerich”. A Recorrente reencaminhou a resposta à Ferreira Costa, que registrou o protocolo n.º 2035542, prometendo troca em 5 dias úteis. </w:t>
      </w:r>
      <w:r>
        <w:rPr>
          <w:rFonts w:ascii="Arial" w:eastAsia="Arial" w:hAnsi="Arial" w:cs="Arial"/>
          <w:b/>
          <w:bCs/>
          <w:color w:val="000000"/>
        </w:rPr>
        <w:t xml:space="preserve">Nada mais foi respondido</w:t>
      </w:r>
      <w:r>
        <w:rPr>
          <w:rFonts w:ascii="Arial" w:eastAsia="Arial" w:hAnsi="Arial" w:cs="Arial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d) </w:t>
      </w:r>
      <w:r>
        <w:rPr>
          <w:rFonts w:ascii="Arial" w:eastAsia="Arial" w:hAnsi="Arial" w:cs="Arial"/>
          <w:b/>
          <w:bCs/>
          <w:color w:val="000000"/>
        </w:rPr>
        <w:t xml:space="preserve">02/05/2026</w:t>
      </w:r>
      <w:r>
        <w:rPr>
          <w:rFonts w:ascii="Arial" w:eastAsia="Arial" w:hAnsi="Arial" w:cs="Arial"/>
          <w:color w:val="000000"/>
        </w:rPr>
        <w:t xml:space="preserve"> – termina o prazo de 30 dias para sanar o vício (art. 18, § 1º, do CDC);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e) </w:t>
      </w:r>
      <w:r>
        <w:rPr>
          <w:rFonts w:ascii="Arial" w:eastAsia="Arial" w:hAnsi="Arial" w:cs="Arial"/>
          <w:b/>
          <w:bCs/>
          <w:color w:val="000000"/>
        </w:rPr>
        <w:t xml:space="preserve">10/06/2026</w:t>
      </w:r>
      <w:r>
        <w:rPr>
          <w:rFonts w:ascii="Arial" w:eastAsia="Arial" w:hAnsi="Arial" w:cs="Arial"/>
          <w:color w:val="000000"/>
        </w:rPr>
        <w:t xml:space="preserve"> – segundo a própria Herval (contestação, item 14), somente nesta data a Ferreira Costa encaminhou a solicitação ao fabricante, </w:t>
      </w:r>
      <w:r>
        <w:rPr>
          <w:rFonts w:ascii="Arial" w:eastAsia="Arial" w:hAnsi="Arial" w:cs="Arial"/>
          <w:b/>
          <w:bCs/>
          <w:color w:val="000000"/>
        </w:rPr>
        <w:t xml:space="preserve">69 dias depois da reclamação</w:t>
      </w:r>
      <w:r>
        <w:rPr>
          <w:rFonts w:ascii="Arial" w:eastAsia="Arial" w:hAnsi="Arial" w:cs="Arial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f) </w:t>
      </w:r>
      <w:r>
        <w:rPr>
          <w:rFonts w:ascii="Arial" w:eastAsia="Arial" w:hAnsi="Arial" w:cs="Arial"/>
          <w:b/>
          <w:bCs/>
          <w:color w:val="000000"/>
        </w:rPr>
        <w:t xml:space="preserve">12/06/2026</w:t>
      </w:r>
      <w:r>
        <w:rPr>
          <w:rFonts w:ascii="Arial" w:eastAsia="Arial" w:hAnsi="Arial" w:cs="Arial"/>
          <w:color w:val="000000"/>
        </w:rPr>
        <w:t xml:space="preserve"> – a Herval afirma ter autorizado a troca;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g) </w:t>
      </w:r>
      <w:r>
        <w:rPr>
          <w:rFonts w:ascii="Arial" w:eastAsia="Arial" w:hAnsi="Arial" w:cs="Arial"/>
          <w:b/>
          <w:bCs/>
          <w:color w:val="000000"/>
        </w:rPr>
        <w:t xml:space="preserve">18/06/2026</w:t>
      </w:r>
      <w:r>
        <w:rPr>
          <w:rFonts w:ascii="Arial" w:eastAsia="Arial" w:hAnsi="Arial" w:cs="Arial"/>
          <w:color w:val="000000"/>
        </w:rPr>
        <w:t xml:space="preserve"> – ajuizamento da ação (77 dias depois da reclamação);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h) </w:t>
      </w:r>
      <w:r>
        <w:rPr>
          <w:rFonts w:ascii="Arial" w:eastAsia="Arial" w:hAnsi="Arial" w:cs="Arial"/>
          <w:b/>
          <w:bCs/>
          <w:color w:val="000000"/>
        </w:rPr>
        <w:t xml:space="preserve">15/07/2026</w:t>
      </w:r>
      <w:r>
        <w:rPr>
          <w:rFonts w:ascii="Arial" w:eastAsia="Arial" w:hAnsi="Arial" w:cs="Arial"/>
          <w:color w:val="000000"/>
        </w:rPr>
        <w:t xml:space="preserve"> – troca efetivada e entregue à Recorrente, conforme a NF-e n.º 2.034.024 e o comprovante de entrega juntados pela própria Ferreira Costa.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Em números: a substituição ocorreu </w:t>
      </w:r>
      <w:r>
        <w:rPr>
          <w:rFonts w:ascii="Arial" w:eastAsia="Arial" w:hAnsi="Arial" w:cs="Arial"/>
          <w:b/>
          <w:bCs/>
          <w:color w:val="000000"/>
        </w:rPr>
        <w:t xml:space="preserve">27 dias depois do ajuizamento da ação</w:t>
      </w:r>
      <w:r>
        <w:rPr>
          <w:rFonts w:ascii="Arial" w:eastAsia="Arial" w:hAnsi="Arial" w:cs="Arial"/>
          <w:color w:val="000000"/>
        </w:rPr>
        <w:t xml:space="preserve">, </w:t>
      </w:r>
      <w:r>
        <w:rPr>
          <w:rFonts w:ascii="Arial" w:eastAsia="Arial" w:hAnsi="Arial" w:cs="Arial"/>
          <w:b/>
          <w:bCs/>
          <w:color w:val="000000"/>
        </w:rPr>
        <w:t xml:space="preserve">33 dias depois da suposta autorização da fabricante</w:t>
      </w:r>
      <w:r>
        <w:rPr>
          <w:rFonts w:ascii="Arial" w:eastAsia="Arial" w:hAnsi="Arial" w:cs="Arial"/>
          <w:color w:val="000000"/>
        </w:rPr>
        <w:t xml:space="preserve">, </w:t>
      </w:r>
      <w:r>
        <w:rPr>
          <w:rFonts w:ascii="Arial" w:eastAsia="Arial" w:hAnsi="Arial" w:cs="Arial"/>
          <w:b/>
          <w:bCs/>
          <w:color w:val="000000"/>
        </w:rPr>
        <w:t xml:space="preserve">74 dias depois do fim do prazo legal de 30 dias</w:t>
      </w:r>
      <w:r>
        <w:rPr>
          <w:rFonts w:ascii="Arial" w:eastAsia="Arial" w:hAnsi="Arial" w:cs="Arial"/>
          <w:color w:val="000000"/>
        </w:rPr>
        <w:t xml:space="preserve"> e </w:t>
      </w:r>
      <w:r>
        <w:rPr>
          <w:rFonts w:ascii="Arial" w:eastAsia="Arial" w:hAnsi="Arial" w:cs="Arial"/>
          <w:b/>
          <w:bCs/>
          <w:color w:val="000000"/>
        </w:rPr>
        <w:t xml:space="preserve">104 dias depois da reclamação</w:t>
      </w:r>
      <w:r>
        <w:rPr>
          <w:rFonts w:ascii="Arial" w:eastAsia="Arial" w:hAnsi="Arial" w:cs="Arial"/>
          <w:color w:val="000000"/>
        </w:rPr>
        <w:t xml:space="preserve"> de 02/04/2026 (107 dias contados do primeiro contato, em 30/03/2026).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580000" cy="3627000"/>
            <wp:docPr id="901" name="Imagem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img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Arial" w:eastAsia="Arial" w:hAnsi="Arial" w:cs="Arial"/>
          <w:i/>
          <w:iCs/>
          <w:color w:val="000000"/>
          <w:sz w:val="20"/>
          <w:szCs w:val="20"/>
        </w:rPr>
        <w:t xml:space="preserve">Linha do tempo: tentativa administrativa (30/03 a 18/06), ajuizamento (18/06) e troca (15/07/2026). Fontes: documentos dos autos e contestações.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IV.2 – A premissa da sentença é contrariada pelas provas: não houve solução administrativa nem “regular trâmite de tratativas”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assentou que as Recorridas trocaram o produto ao tomar “ciência definitiva da demanda”, após o “regular trâmite das tratativas” entre loja e fabricante. A primeira parte da premissa confirma a tese da Recorrente: a solução só veio </w:t>
      </w:r>
      <w:r>
        <w:rPr>
          <w:rFonts w:ascii="Arial" w:eastAsia="Arial" w:hAnsi="Arial" w:cs="Arial"/>
          <w:b/>
          <w:bCs/>
          <w:color w:val="000000"/>
        </w:rPr>
        <w:t xml:space="preserve">depois e por causa da ação</w:t>
      </w:r>
      <w:r>
        <w:rPr>
          <w:rFonts w:ascii="Arial" w:eastAsia="Arial" w:hAnsi="Arial" w:cs="Arial"/>
          <w:color w:val="000000"/>
        </w:rPr>
        <w:t xml:space="preserve">. A segunda não encontra amparo nos autos.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Segundo a versão da própria Herval, a única “tratativa” entre loja e fabricante foi o encaminhamento de 10/06/2026, feito 69 dias depois da reclamação e 8 dias antes do ajuizamento. Antes disso, a Ferreira Costa recusou a troca, deixou de responder à réplica da consumidora e, após o protocolo de 08/04/2026, silenciou. A Herval, por sua vez, declara ter localizado “apenas um contato” da consumidora e imputa à Ferreira Costa a recusa e a demora, afirmando que “quem recursou [sic] a troca indevidamente foi a comerciante ora Ferreira Costa” (contestação, item 100) e que, “caso tenha havido demora ou ausência de solução ao consumidor, tal circunstância decorre exclusivamente da conduta da primeira ré” (item 16). Nas contestações, nenhuma das Recorridas indicou comunicação à consumidora, entre abril e junho, que pudesse caracterizar solução administrativa em andamento.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Os documentos relativos à entrega, de 15/07/2026, que a Recorrente junta nos termos do art. 435 do CPC (Docs. 4 a 7), mostram que a troca foi tratada pela própria Ferreira Costa como </w:t>
      </w:r>
      <w:r>
        <w:rPr>
          <w:rFonts w:ascii="Arial" w:eastAsia="Arial" w:hAnsi="Arial" w:cs="Arial"/>
          <w:b/>
          <w:bCs/>
          <w:color w:val="000000"/>
        </w:rPr>
        <w:t xml:space="preserve">cumprimento de demanda judicial</w:t>
      </w:r>
      <w:r>
        <w:rPr>
          <w:rFonts w:ascii="Arial" w:eastAsia="Arial" w:hAnsi="Arial" w:cs="Arial"/>
          <w:color w:val="000000"/>
        </w:rPr>
        <w:t xml:space="preserve">, e o principal deles é o recibo que ela tentou colher da consumidora: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a) </w:t>
      </w:r>
      <w:r>
        <w:rPr>
          <w:rFonts w:ascii="Arial" w:eastAsia="Arial" w:hAnsi="Arial" w:cs="Arial"/>
          <w:b/>
          <w:bCs/>
          <w:color w:val="000000"/>
        </w:rPr>
        <w:t xml:space="preserve">o recibo de quitação (Doc. 4)</w:t>
      </w:r>
      <w:r>
        <w:rPr>
          <w:rFonts w:ascii="Arial" w:eastAsia="Arial" w:hAnsi="Arial" w:cs="Arial"/>
          <w:color w:val="000000"/>
        </w:rPr>
        <w:t xml:space="preserve">, que a Ferreira Costa levou pronto para ser assinado no ato da entrega. Nele, a consumidora declararia que “dou total quitação à FERREIRA COSTA &amp; CIA. LTDA., referente à compra e recebimento do produto citado acima, ficando esta a salvo de qualquer pretensão ou reclamação adicional em qualquer esfera, </w:t>
      </w:r>
      <w:r>
        <w:rPr>
          <w:rFonts w:ascii="Arial" w:eastAsia="Arial" w:hAnsi="Arial" w:cs="Arial"/>
          <w:b/>
          <w:bCs/>
          <w:color w:val="000000"/>
        </w:rPr>
        <w:t xml:space="preserve">incluindo qualquer espécie de verba ou crédito indenizatório</w:t>
      </w:r>
      <w:r>
        <w:rPr>
          <w:rFonts w:ascii="Arial" w:eastAsia="Arial" w:hAnsi="Arial" w:cs="Arial"/>
          <w:color w:val="000000"/>
        </w:rPr>
        <w:t xml:space="preserve">”, e ainda que é “responsável, civil e criminalmente, por quaisquer danos causados em virtude da quebra da confidencialidade e sigilo a que estou obrigado”. A Recorrente </w:t>
      </w:r>
      <w:r>
        <w:rPr>
          <w:rFonts w:ascii="Arial" w:eastAsia="Arial" w:hAnsi="Arial" w:cs="Arial"/>
          <w:b/>
          <w:bCs/>
          <w:color w:val="000000"/>
        </w:rPr>
        <w:t xml:space="preserve">recusou-se a assinar</w:t>
      </w:r>
      <w:r>
        <w:rPr>
          <w:rFonts w:ascii="Arial" w:eastAsia="Arial" w:hAnsi="Arial" w:cs="Arial"/>
          <w:color w:val="000000"/>
        </w:rPr>
        <w:t xml:space="preserve"> e registrou, de próprio punho, no próprio recibo: “Produto que foi trocado devido à ação judicial, sendo assim, não há como assinar este recibo, pois não tenho e não concordo com o conteúdo do mesmo. Várias tentativas foram feitas antes da ação judicial sem êxito”, com a data de 15/07/26;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140000" cy="5520000"/>
            <wp:docPr id="902" name="Imagem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img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Arial" w:eastAsia="Arial" w:hAnsi="Arial" w:cs="Arial"/>
          <w:i/>
          <w:iCs/>
          <w:color w:val="000000"/>
          <w:sz w:val="20"/>
          <w:szCs w:val="20"/>
        </w:rPr>
        <w:t xml:space="preserve">Doc. 4 – Recibo de quitação apresentado pela Ferreira Costa na entrega (15/07/2026), NÃO ASSINADO, com a ressalva manuscrita da Recorrente.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b) a ordem interna de entrega da Ferreira Costa é intitulada “</w:t>
      </w:r>
      <w:r>
        <w:rPr>
          <w:rFonts w:ascii="Arial" w:eastAsia="Arial" w:hAnsi="Arial" w:cs="Arial"/>
          <w:b/>
          <w:bCs/>
          <w:color w:val="000000"/>
        </w:rPr>
        <w:t xml:space="preserve">CUMPRIMENTO DE SENTENÇA – TROCA DE PRODUTO</w:t>
      </w:r>
      <w:r>
        <w:rPr>
          <w:rFonts w:ascii="Arial" w:eastAsia="Arial" w:hAnsi="Arial" w:cs="Arial"/>
          <w:color w:val="000000"/>
        </w:rPr>
        <w:t xml:space="preserve">”, traz como motivo “CUMPRIMENTO DE SENTENÇA” e instrui os supervisores: “A autora propõe a ação devido a vício oculto em cadeira adquirida, que apresentou defeito durante a montagem” (Doc. 5);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c) a caixa da cadeira entregue veio com a etiqueta “</w:t>
      </w:r>
      <w:r>
        <w:rPr>
          <w:rFonts w:ascii="Arial" w:eastAsia="Arial" w:hAnsi="Arial" w:cs="Arial"/>
          <w:b/>
          <w:bCs/>
          <w:color w:val="000000"/>
        </w:rPr>
        <w:t xml:space="preserve">RESERVADO JURÍDICO – Produto em reserva para cumprir demanda judicial</w:t>
      </w:r>
      <w:r>
        <w:rPr>
          <w:rFonts w:ascii="Arial" w:eastAsia="Arial" w:hAnsi="Arial" w:cs="Arial"/>
          <w:color w:val="000000"/>
        </w:rPr>
        <w:t xml:space="preserve">” (Doc. 6);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d) o DANFe da troca (NF-e n.º 2.034.024) está datado de 15/07/2026, e a Recorrente anotou nele a data da efetivação da troca (Doc. 7). A mesma data consta do comprovante de entrega juntado pela própria Ferreira Costa.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Uma empresa que reserva o produto ao setor jurídico “para cumprir demanda judicial” e, na entrega, apresenta recibo de quitação de “crédito indenizatório”, com cláusula de sigilo, </w:t>
      </w:r>
      <w:r>
        <w:rPr>
          <w:rFonts w:ascii="Arial" w:eastAsia="Arial" w:hAnsi="Arial" w:cs="Arial"/>
          <w:b/>
          <w:bCs/>
          <w:color w:val="000000"/>
        </w:rPr>
        <w:t xml:space="preserve">não resolveu o problema em via administrativa</w:t>
      </w:r>
      <w:r>
        <w:rPr>
          <w:rFonts w:ascii="Arial" w:eastAsia="Arial" w:hAnsi="Arial" w:cs="Arial"/>
          <w:color w:val="000000"/>
        </w:rPr>
        <w:t xml:space="preserve">: reagiu à ação e tentou encerrar, no ato, a pretensão indenizatória, como se fizesse acordo. A conclusão da sentença, de que a controvérsia “restou solucionada na via administrativa”, é incompatível com essas provas.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IV.3 – O vício, o prazo legal e a responsabilidade solidária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 rompimento do parafuso no interior da estrutura, durante a montagem regular, é vício oculto de qualidade (art. 18, caput, do CDC), cujo prazo decadencial só se inicia quando evidenciado o defeito (art. 26, § 3º). Reclamado o vício em 02/04/2026, o prazo de 30 dias para saná-lo (art. 18, § 1º) terminou em 02/05/2026, e a troca só ocorreu 74 dias depois.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política de 7 dias invocada pela Ferreira Costa corresponde ao direito de arrependimento (art. 49 do CDC), instituto distinto do vício do produto, e não reduz a garantia legal nem a contratual, de 6 meses. Vendedora e fabricante respondem solidariamente pelo vício (art. 18, caput, e art. 7º, parágrafo único, do CDC), e as suas divergências internas sobre quem deveria atender a consumidora não lhe são oponíveis. Ambas, aliás, atribuem uma à outra a recusa e a demora, o que confirma que o ilícito ocorreu.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IV.4 – O dano moral: não se trata de dissabor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classificou o caso como “dissabor inerente às relações comerciais cotidianas” e afastou o dano por ausência de “prejuízos materiais definitivos”. Ambos os fundamentos merecem reforma.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Primeiro</w:t>
      </w:r>
      <w:r>
        <w:rPr>
          <w:rFonts w:ascii="Arial" w:eastAsia="Arial" w:hAnsi="Arial" w:cs="Arial"/>
          <w:color w:val="000000"/>
        </w:rPr>
        <w:t xml:space="preserve">, o dano moral não depende de prejuízo material definitivo. O art. 6º, inciso VI, do CDC assegura a reparação de danos patrimoniais </w:t>
      </w:r>
      <w:r>
        <w:rPr>
          <w:rFonts w:ascii="Arial" w:eastAsia="Arial" w:hAnsi="Arial" w:cs="Arial"/>
          <w:b/>
          <w:bCs/>
          <w:color w:val="000000"/>
        </w:rPr>
        <w:t xml:space="preserve">e morais</w:t>
      </w:r>
      <w:r>
        <w:rPr>
          <w:rFonts w:ascii="Arial" w:eastAsia="Arial" w:hAnsi="Arial" w:cs="Arial"/>
          <w:color w:val="000000"/>
        </w:rPr>
        <w:t xml:space="preserve">, de forma autônoma. O que se pede é a reparação pelo tempo e pelo esforço que a consumidora foi obrigada a despender por conduta das fornecedoras, e não pelo valor da cadeira.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Segundo</w:t>
      </w:r>
      <w:r>
        <w:rPr>
          <w:rFonts w:ascii="Arial" w:eastAsia="Arial" w:hAnsi="Arial" w:cs="Arial"/>
          <w:color w:val="000000"/>
        </w:rPr>
        <w:t xml:space="preserve">, o caso não é de mero descumprimento contratual ou percalço cotidiano. A consumidora recebeu </w:t>
      </w:r>
      <w:r>
        <w:rPr>
          <w:rFonts w:ascii="Arial" w:eastAsia="Arial" w:hAnsi="Arial" w:cs="Arial"/>
          <w:b/>
          <w:bCs/>
          <w:color w:val="000000"/>
        </w:rPr>
        <w:t xml:space="preserve">recusa expressa e escrita</w:t>
      </w:r>
      <w:r>
        <w:rPr>
          <w:rFonts w:ascii="Arial" w:eastAsia="Arial" w:hAnsi="Arial" w:cs="Arial"/>
          <w:color w:val="000000"/>
        </w:rPr>
        <w:t xml:space="preserve">, fundada em política interna contrária ao CDC; foi remetida de uma fornecedora à outra; teve a réplica ignorada; e permaneceu </w:t>
      </w:r>
      <w:r>
        <w:rPr>
          <w:rFonts w:ascii="Arial" w:eastAsia="Arial" w:hAnsi="Arial" w:cs="Arial"/>
          <w:b/>
          <w:bCs/>
          <w:color w:val="000000"/>
        </w:rPr>
        <w:t xml:space="preserve">104 dias</w:t>
      </w:r>
      <w:r>
        <w:rPr>
          <w:rFonts w:ascii="Arial" w:eastAsia="Arial" w:hAnsi="Arial" w:cs="Arial"/>
          <w:color w:val="000000"/>
        </w:rPr>
        <w:t xml:space="preserve"> com o conjunto incompleto e uma unidade inutilizada, sendo necessária a propositura de ação para que a troca, que o art. 18, § 1º, do CDC impunha em 30 dias, fosse feita. É a perda injusta e intolerável do tempo útil do consumidor, que o Superior Tribunal de Justiça reconhece como dano indenizável (teoria do desvio produtivo), conforme os REsp 1.634.851/RJ (Rel. Min. Nancy Andrighi, Terceira Turma, DJe 15/02/2018) e REsp 1.737.412/SE (Rel. Min. Nancy Andrighi, Terceira Turma, DJe 08/02/2019).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Terceiro</w:t>
      </w:r>
      <w:r>
        <w:rPr>
          <w:rFonts w:ascii="Arial" w:eastAsia="Arial" w:hAnsi="Arial" w:cs="Arial"/>
          <w:color w:val="000000"/>
        </w:rPr>
        <w:t xml:space="preserve">, a solução tardia, obtida somente após o ajuizamento, não apaga o dano já consumado durante os 104 dias de inércia, e a tentativa da Ferreira Costa de obter, na entrega, a quitação de “qualquer espécie de verba ou crédito indenizatório” (Doc. 4) demonstra que ela própria sabia haver pretensão indenizatória a ser afastada. Se a troca resolvesse a controvérsia, não haveria necessidade de tal cláusula.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 valor de R$ 10.000,00 é adequado à dupla função, compensatória e pedagógica, da indenização, considerando o porte econômico das Recorridas e a reiteração da conduta. Subsidiariamente, requer-se o arbitramento em valor que o Colegiado considerar justo.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V – DA JUNTADA DE DOCUMENTOS (ART. 435 DO CPC)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Os Docs. 4 a 7 retratam fato ocorrido em 15/07/2026, posterior aos articulados iniciais, e destinam-se a contrapor a premissa da sentença de que a substituição decorreu de tratativas administrativas. Requer-se a sua admissão nos termos do art. 435 do CPC.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VI – DOS PEDIDOS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Ante o exposto, requer a Recorrente: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1. a concessão da </w:t>
      </w:r>
      <w:r>
        <w:rPr>
          <w:rFonts w:ascii="Arial" w:eastAsia="Arial" w:hAnsi="Arial" w:cs="Arial"/>
          <w:b/>
          <w:bCs/>
          <w:color w:val="000000"/>
        </w:rPr>
        <w:t xml:space="preserve">gratuidade de justiça</w:t>
      </w:r>
      <w:r>
        <w:rPr>
          <w:rFonts w:ascii="Arial" w:eastAsia="Arial" w:hAnsi="Arial" w:cs="Arial"/>
          <w:color w:val="000000"/>
        </w:rPr>
        <w:t xml:space="preserve"> para o presente recurso, com a dispensa do preparo (art. 99, § 7º, do CPC e art. 54, parágrafo único, da Lei n.º 9.099/1995), ou, se indeferida, a fixação de prazo para o recolhimento;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2. a admissão dos documentos anexos (art. 435 do CPC);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3. o conhecimento e o </w:t>
      </w:r>
      <w:r>
        <w:rPr>
          <w:rFonts w:ascii="Arial" w:eastAsia="Arial" w:hAnsi="Arial" w:cs="Arial"/>
          <w:b/>
          <w:bCs/>
          <w:color w:val="000000"/>
        </w:rPr>
        <w:t xml:space="preserve">provimento do recurso</w:t>
      </w:r>
      <w:r>
        <w:rPr>
          <w:rFonts w:ascii="Arial" w:eastAsia="Arial" w:hAnsi="Arial" w:cs="Arial"/>
          <w:color w:val="000000"/>
        </w:rPr>
        <w:t xml:space="preserve">, para reformar a sentença no capítulo em que julgou improcedente o pedido de danos morais;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4. a </w:t>
      </w:r>
      <w:r>
        <w:rPr>
          <w:rFonts w:ascii="Arial" w:eastAsia="Arial" w:hAnsi="Arial" w:cs="Arial"/>
          <w:b/>
          <w:bCs/>
          <w:color w:val="000000"/>
        </w:rPr>
        <w:t xml:space="preserve">condenação solidária das Recorridas</w:t>
      </w:r>
      <w:r>
        <w:rPr>
          <w:rFonts w:ascii="Arial" w:eastAsia="Arial" w:hAnsi="Arial" w:cs="Arial"/>
          <w:color w:val="000000"/>
        </w:rPr>
        <w:t xml:space="preserve"> ao pagamento de indenização por danos morais no valor de R$ 10.000,00 (dez mil reais), com correção monetária e juros na forma da Lei n.º 14.905/2024.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Arial" w:eastAsia="Arial" w:hAnsi="Arial" w:cs="Arial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Arial" w:eastAsia="Arial" w:hAnsi="Arial" w:cs="Arial"/>
          <w:color w:val="000000"/>
        </w:rPr>
        <w:t xml:space="preserve">Salvador/BA, [DATA DO PROTOCOLO]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Advogada em causa própria — OAB/BA 48.851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Documentos: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Doc. 1 – Declaração de hipossuficiência; Doc. 2 – Comprovantes da advocacia (cartão CNPJ, DAS 06 a 08/2026, recebíveis 06 a 08/2026); Doc. 3 – IRPF 2026 (ano-base 2025) e contracheque SESAB de agosto/2026; Doc. 4 – Recibo de quitação apresentado pela Ferreira Costa na entrega, não assinado, com ressalva manuscrita, 15/07/2026; Doc. 5 – Ordem interna “Cumprimento de Sentença – Troca de Produto”, 15/07/2026; Doc. 6 – Fotografia da embalagem entregue (“Reservado Jurídico”), 15/07/2026; Doc. 7 – DANFe NF-e n.º 2.034.024 (15/07/2026).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Img1" Type="http://schemas.openxmlformats.org/officeDocument/2006/relationships/image" Target="media/img1.png"/><Relationship Id="rIdImg2" Type="http://schemas.openxmlformats.org/officeDocument/2006/relationships/image" Target="media/img2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