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jc w:val="both"/>
      </w:pPr>
    </w:p>
    <w:p>
      <w:pPr>
        <w:spacing w:before="0" w:after="120" w:line="360" w:lineRule="auto"/>
        <w:jc w:val="both"/>
      </w:pPr>
      <w:r>
        <w:rPr>
          <w:rFonts w:ascii="Arial" w:eastAsia="Arial" w:hAnsi="Arial" w:cs="Arial"/>
          <w:b/>
          <w:color w:val="000000"/>
          <w:sz w:val="24"/>
          <w:szCs w:val="24"/>
        </w:rPr>
        <w:t xml:space="preserve">EXCELENTÍSSIMO SENHOR DOUTOR JUIZ DE DIREITO DA 1ª VARA CÍVEL DE BRASÍLIA — TJDFT</w:t>
      </w:r>
    </w:p>
    <w:p>
      <w:pPr>
        <w:spacing w:before="0" w:after="0" w:line="240" w:lineRule="auto"/>
        <w:jc w:val="both"/>
      </w:pPr>
    </w:p>
    <w:p>
      <w:pPr>
        <w:spacing w:before="0" w:after="40" w:line="300" w:lineRule="auto"/>
        <w:jc w:val="left"/>
      </w:pPr>
      <w:r>
        <w:rPr>
          <w:rFonts w:ascii="Arial" w:eastAsia="Arial" w:hAnsi="Arial" w:cs="Arial"/>
          <w:b/>
          <w:color w:val="000000"/>
          <w:sz w:val="24"/>
          <w:szCs w:val="24"/>
        </w:rPr>
        <w:t xml:space="preserve">Processo nº 0750801-93.2026.8.07.0001</w:t>
      </w:r>
    </w:p>
    <w:p>
      <w:pPr>
        <w:spacing w:before="0" w:after="40" w:line="300" w:lineRule="auto"/>
        <w:jc w:val="left"/>
      </w:pPr>
      <w:r>
        <w:rPr>
          <w:rFonts w:ascii="Arial" w:eastAsia="Arial" w:hAnsi="Arial" w:cs="Arial"/>
          <w:b/>
          <w:color w:val="000000"/>
          <w:sz w:val="24"/>
          <w:szCs w:val="24"/>
        </w:rPr>
        <w:t xml:space="preserve">Vara:</w:t>
      </w:r>
      <w:r>
        <w:rPr>
          <w:rFonts w:ascii="Arial" w:eastAsia="Arial" w:hAnsi="Arial" w:cs="Arial"/>
          <w:color w:val="000000"/>
          <w:sz w:val="24"/>
          <w:szCs w:val="24"/>
        </w:rPr>
        <w:t xml:space="preserve"> 1ª Vara Cível de Brasília/DF</w:t>
      </w:r>
    </w:p>
    <w:p>
      <w:pPr>
        <w:spacing w:before="0" w:after="40" w:line="300" w:lineRule="auto"/>
        <w:jc w:val="left"/>
      </w:pPr>
      <w:r>
        <w:rPr>
          <w:rFonts w:ascii="Arial" w:eastAsia="Arial" w:hAnsi="Arial" w:cs="Arial"/>
          <w:b/>
          <w:color w:val="000000"/>
          <w:sz w:val="24"/>
          <w:szCs w:val="24"/>
        </w:rPr>
        <w:t xml:space="preserve">Ação:</w:t>
      </w:r>
      <w:r>
        <w:rPr>
          <w:rFonts w:ascii="Arial" w:eastAsia="Arial" w:hAnsi="Arial" w:cs="Arial"/>
          <w:color w:val="000000"/>
          <w:sz w:val="24"/>
          <w:szCs w:val="24"/>
        </w:rPr>
        <w:t xml:space="preserve"> Procedimento Comum Cível — revisional de reajustes contratuais c/c repetição de indébito (plano de saúde)</w:t>
      </w:r>
    </w:p>
    <w:p>
      <w:pPr>
        <w:spacing w:before="0" w:after="40" w:line="300" w:lineRule="auto"/>
        <w:jc w:val="left"/>
      </w:pPr>
      <w:r>
        <w:rPr>
          <w:rFonts w:ascii="Arial" w:eastAsia="Arial" w:hAnsi="Arial" w:cs="Arial"/>
          <w:b/>
          <w:color w:val="000000"/>
          <w:sz w:val="24"/>
          <w:szCs w:val="24"/>
        </w:rPr>
        <w:t xml:space="preserve">Requerentes:</w:t>
      </w:r>
      <w:r>
        <w:rPr>
          <w:rFonts w:ascii="Arial" w:eastAsia="Arial" w:hAnsi="Arial" w:cs="Arial"/>
          <w:color w:val="000000"/>
          <w:sz w:val="24"/>
          <w:szCs w:val="24"/>
        </w:rPr>
        <w:t xml:space="preserve"> ANTONIO W. S. MENDES CONSULTORIA E TREINAMENTO EM GESTÃO EMPRESARIAL LTDA, ANTONIO WILSON SILVA MENDES, MARCIA BEATRIZ FURTADO COELHO, ANA BEATRIZ COELHO MENDES e WILSON COELHO MENDES</w:t>
      </w:r>
    </w:p>
    <w:p>
      <w:pPr>
        <w:spacing w:before="0" w:after="40" w:line="300" w:lineRule="auto"/>
        <w:jc w:val="left"/>
      </w:pPr>
      <w:r>
        <w:rPr>
          <w:rFonts w:ascii="Arial" w:eastAsia="Arial" w:hAnsi="Arial" w:cs="Arial"/>
          <w:b/>
          <w:color w:val="000000"/>
          <w:sz w:val="24"/>
          <w:szCs w:val="24"/>
        </w:rPr>
        <w:t xml:space="preserve">Requerida:</w:t>
      </w:r>
      <w:r>
        <w:rPr>
          <w:rFonts w:ascii="Arial" w:eastAsia="Arial" w:hAnsi="Arial" w:cs="Arial"/>
          <w:color w:val="000000"/>
          <w:sz w:val="24"/>
          <w:szCs w:val="24"/>
        </w:rPr>
        <w:t xml:space="preserve"> BRADESCO SAÚDE S/A</w:t>
      </w:r>
    </w:p>
    <w:p>
      <w:pPr>
        <w:spacing w:before="0" w:after="0" w:line="240" w:lineRule="auto"/>
        <w:jc w:val="both"/>
      </w:pPr>
    </w:p>
    <w:p>
      <w:pPr>
        <w:spacing w:before="0" w:after="120" w:line="360" w:lineRule="auto"/>
        <w:ind w:left="0" w:firstLine="1134"/>
        <w:jc w:val="both"/>
      </w:pPr>
      <w:r>
        <w:rPr>
          <w:rFonts w:ascii="Arial" w:eastAsia="Arial" w:hAnsi="Arial" w:cs="Arial"/>
          <w:b/>
          <w:color w:val="000000"/>
          <w:sz w:val="24"/>
          <w:szCs w:val="24"/>
        </w:rPr>
        <w:t xml:space="preserve">OS AUTORES</w:t>
      </w:r>
      <w:r>
        <w:rPr>
          <w:rFonts w:ascii="Arial" w:eastAsia="Arial" w:hAnsi="Arial" w:cs="Arial"/>
          <w:color w:val="000000"/>
          <w:sz w:val="24"/>
          <w:szCs w:val="24"/>
        </w:rPr>
        <w:t xml:space="preserve">, já qualificados nos autos da ação em epígrafe, por sua advogada que esta subscreve, vêm, respeitosamente, à presença de Vossa Excelência, nos termos dos arts. 350 e 351 do Código de Processo Civil, apresentar </w:t>
      </w:r>
      <w:r>
        <w:rPr>
          <w:rFonts w:ascii="Arial" w:eastAsia="Arial" w:hAnsi="Arial" w:cs="Arial"/>
          <w:b/>
          <w:color w:val="000000"/>
          <w:sz w:val="24"/>
          <w:szCs w:val="24"/>
        </w:rPr>
        <w:t xml:space="preserve">RÉPLICA À CONTESTAÇÃO</w:t>
      </w:r>
      <w:r>
        <w:rPr>
          <w:rFonts w:ascii="Arial" w:eastAsia="Arial" w:hAnsi="Arial" w:cs="Arial"/>
          <w:color w:val="000000"/>
          <w:sz w:val="24"/>
          <w:szCs w:val="24"/>
        </w:rPr>
        <w:t xml:space="preserve"> de Id. 292020111, pelos fatos e fundamentos a seguir expostos.</w:t>
      </w:r>
    </w:p>
    <w:p>
      <w:pPr>
        <w:keepNext/>
        <w:spacing w:before="240" w:after="120" w:line="360" w:lineRule="auto"/>
        <w:jc w:val="left"/>
      </w:pPr>
      <w:r>
        <w:rPr>
          <w:rFonts w:ascii="Arial" w:eastAsia="Arial" w:hAnsi="Arial" w:cs="Arial"/>
          <w:b/>
          <w:color w:val="000000"/>
          <w:sz w:val="24"/>
          <w:szCs w:val="24"/>
        </w:rPr>
        <w:t xml:space="preserve">I — SÍNTESE DA CONTESTAÇÃO E DOS PONTOS INCONTROVERSOS</w:t>
      </w:r>
    </w:p>
    <w:p>
      <w:pPr>
        <w:spacing w:before="0" w:after="120" w:line="360" w:lineRule="auto"/>
        <w:ind w:left="0" w:firstLine="1134"/>
        <w:jc w:val="both"/>
      </w:pPr>
      <w:r>
        <w:rPr>
          <w:rFonts w:ascii="Arial" w:eastAsia="Arial" w:hAnsi="Arial" w:cs="Arial"/>
          <w:color w:val="000000"/>
          <w:sz w:val="24"/>
          <w:szCs w:val="24"/>
        </w:rPr>
        <w:t xml:space="preserve">A Requerida (“Bradesco Saúde”) sustenta, em síntese, que: </w:t>
      </w:r>
      <w:r>
        <w:rPr>
          <w:rFonts w:ascii="Arial" w:eastAsia="Arial" w:hAnsi="Arial" w:cs="Arial"/>
          <w:b/>
          <w:color w:val="000000"/>
          <w:sz w:val="24"/>
          <w:szCs w:val="24"/>
        </w:rPr>
        <w:t xml:space="preserve">(i)</w:t>
      </w:r>
      <w:r>
        <w:rPr>
          <w:rFonts w:ascii="Arial" w:eastAsia="Arial" w:hAnsi="Arial" w:cs="Arial"/>
          <w:color w:val="000000"/>
          <w:sz w:val="24"/>
          <w:szCs w:val="24"/>
        </w:rPr>
        <w:t xml:space="preserve"> a pretensão estaria alcançada pela prescrição ânua do art. 206, § 1º, II, do Código Civil; </w:t>
      </w:r>
      <w:r>
        <w:rPr>
          <w:rFonts w:ascii="Arial" w:eastAsia="Arial" w:hAnsi="Arial" w:cs="Arial"/>
          <w:b/>
          <w:color w:val="000000"/>
          <w:sz w:val="24"/>
          <w:szCs w:val="24"/>
        </w:rPr>
        <w:t xml:space="preserve">(ii)</w:t>
      </w:r>
      <w:r>
        <w:rPr>
          <w:rFonts w:ascii="Arial" w:eastAsia="Arial" w:hAnsi="Arial" w:cs="Arial"/>
          <w:color w:val="000000"/>
          <w:sz w:val="24"/>
          <w:szCs w:val="24"/>
        </w:rPr>
        <w:t xml:space="preserve"> os Autores incorreriam em </w:t>
      </w:r>
      <w:r>
        <w:rPr>
          <w:rFonts w:ascii="Arial" w:eastAsia="Arial" w:hAnsi="Arial" w:cs="Arial"/>
          <w:i/>
          <w:color w:val="000000"/>
          <w:sz w:val="24"/>
          <w:szCs w:val="24"/>
        </w:rPr>
        <w:t xml:space="preserve">venire contra factum proprium</w:t>
      </w:r>
      <w:r>
        <w:rPr>
          <w:rFonts w:ascii="Arial" w:eastAsia="Arial" w:hAnsi="Arial" w:cs="Arial"/>
          <w:color w:val="000000"/>
          <w:sz w:val="24"/>
          <w:szCs w:val="24"/>
        </w:rPr>
        <w:t xml:space="preserve"> ao invocar o “falso coletivo”; </w:t>
      </w:r>
      <w:r>
        <w:rPr>
          <w:rFonts w:ascii="Arial" w:eastAsia="Arial" w:hAnsi="Arial" w:cs="Arial"/>
          <w:b/>
          <w:color w:val="000000"/>
          <w:sz w:val="24"/>
          <w:szCs w:val="24"/>
        </w:rPr>
        <w:t xml:space="preserve">(iii)</w:t>
      </w:r>
      <w:r>
        <w:rPr>
          <w:rFonts w:ascii="Arial" w:eastAsia="Arial" w:hAnsi="Arial" w:cs="Arial"/>
          <w:color w:val="000000"/>
          <w:sz w:val="24"/>
          <w:szCs w:val="24"/>
        </w:rPr>
        <w:t xml:space="preserve"> o pedido seria “impossível”, porque a operadora não comercializa planos individuais desde 2007; </w:t>
      </w:r>
      <w:r>
        <w:rPr>
          <w:rFonts w:ascii="Arial" w:eastAsia="Arial" w:hAnsi="Arial" w:cs="Arial"/>
          <w:b/>
          <w:color w:val="000000"/>
          <w:sz w:val="24"/>
          <w:szCs w:val="24"/>
        </w:rPr>
        <w:t xml:space="preserve">(iv)</w:t>
      </w:r>
      <w:r>
        <w:rPr>
          <w:rFonts w:ascii="Arial" w:eastAsia="Arial" w:hAnsi="Arial" w:cs="Arial"/>
          <w:color w:val="000000"/>
          <w:sz w:val="24"/>
          <w:szCs w:val="24"/>
        </w:rPr>
        <w:t xml:space="preserve"> os reajustes anuais e por faixa etária estariam previstos em contrato e se submeteriam à “livre negociação” própria dos planos coletivos; e </w:t>
      </w:r>
      <w:r>
        <w:rPr>
          <w:rFonts w:ascii="Arial" w:eastAsia="Arial" w:hAnsi="Arial" w:cs="Arial"/>
          <w:b/>
          <w:color w:val="000000"/>
          <w:sz w:val="24"/>
          <w:szCs w:val="24"/>
        </w:rPr>
        <w:t xml:space="preserve">(v)</w:t>
      </w:r>
      <w:r>
        <w:rPr>
          <w:rFonts w:ascii="Arial" w:eastAsia="Arial" w:hAnsi="Arial" w:cs="Arial"/>
          <w:color w:val="000000"/>
          <w:sz w:val="24"/>
          <w:szCs w:val="24"/>
        </w:rPr>
        <w:t xml:space="preserve"> não haveria o que restituir.</w:t>
      </w:r>
    </w:p>
    <w:p>
      <w:pPr>
        <w:spacing w:before="0" w:after="120" w:line="360" w:lineRule="auto"/>
        <w:ind w:left="0" w:firstLine="1134"/>
        <w:jc w:val="both"/>
      </w:pPr>
      <w:r>
        <w:rPr>
          <w:rFonts w:ascii="Arial" w:eastAsia="Arial" w:hAnsi="Arial" w:cs="Arial"/>
          <w:color w:val="000000"/>
          <w:sz w:val="24"/>
          <w:szCs w:val="24"/>
        </w:rPr>
        <w:t xml:space="preserve">Antes de enfrentar cada tese, impõe-se registrar o que a contestação </w:t>
      </w:r>
      <w:r>
        <w:rPr>
          <w:rFonts w:ascii="Arial" w:eastAsia="Arial" w:hAnsi="Arial" w:cs="Arial"/>
          <w:b/>
          <w:color w:val="000000"/>
          <w:sz w:val="24"/>
          <w:szCs w:val="24"/>
        </w:rPr>
        <w:t xml:space="preserve">não controverte</w:t>
      </w:r>
      <w:r>
        <w:rPr>
          <w:rFonts w:ascii="Arial" w:eastAsia="Arial" w:hAnsi="Arial" w:cs="Arial"/>
          <w:color w:val="000000"/>
          <w:sz w:val="24"/>
          <w:szCs w:val="24"/>
        </w:rPr>
        <w:t xml:space="preserve"> e, em vários pontos, </w:t>
      </w:r>
      <w:r>
        <w:rPr>
          <w:rFonts w:ascii="Arial" w:eastAsia="Arial" w:hAnsi="Arial" w:cs="Arial"/>
          <w:b/>
          <w:color w:val="000000"/>
          <w:sz w:val="24"/>
          <w:szCs w:val="24"/>
        </w:rPr>
        <w:t xml:space="preserve">confirma expressamente</w:t>
      </w:r>
      <w:r>
        <w:rPr>
          <w:rFonts w:ascii="Arial" w:eastAsia="Arial" w:hAnsi="Arial" w:cs="Arial"/>
          <w:color w:val="000000"/>
          <w:sz w:val="24"/>
          <w:szCs w:val="24"/>
        </w:rPr>
        <w:t xml:space="preserve">, de modo que tais fatos independem de prova (art. 374, III, do CPC):</w:t>
      </w:r>
    </w:p>
    <w:p>
      <w:pPr>
        <w:spacing w:before="0" w:after="120" w:line="360" w:lineRule="auto"/>
        <w:ind w:left="0" w:firstLine="1134"/>
        <w:jc w:val="both"/>
      </w:pPr>
      <w:r>
        <w:rPr>
          <w:rFonts w:ascii="Arial" w:eastAsia="Arial" w:hAnsi="Arial" w:cs="Arial"/>
          <w:b/>
          <w:color w:val="000000"/>
          <w:sz w:val="24"/>
          <w:szCs w:val="24"/>
        </w:rPr>
        <w:t xml:space="preserve">(a)</w:t>
      </w:r>
      <w:r>
        <w:rPr>
          <w:rFonts w:ascii="Arial" w:eastAsia="Arial" w:hAnsi="Arial" w:cs="Arial"/>
          <w:color w:val="000000"/>
          <w:sz w:val="24"/>
          <w:szCs w:val="24"/>
        </w:rPr>
        <w:t xml:space="preserve"> a existência da apólice nº 344349, da qual a Requerida diz tratar-se de “seguro saúde coletivo SPG (</w:t>
      </w:r>
      <w:r>
        <w:rPr>
          <w:rFonts w:ascii="Arial" w:eastAsia="Arial" w:hAnsi="Arial" w:cs="Arial"/>
          <w:b/>
          <w:color w:val="000000"/>
          <w:sz w:val="24"/>
          <w:szCs w:val="24"/>
        </w:rPr>
        <w:t xml:space="preserve">Seguro para Pequenos Grupos</w:t>
      </w:r>
      <w:r>
        <w:rPr>
          <w:rFonts w:ascii="Arial" w:eastAsia="Arial" w:hAnsi="Arial" w:cs="Arial"/>
          <w:color w:val="000000"/>
          <w:sz w:val="24"/>
          <w:szCs w:val="24"/>
        </w:rPr>
        <w:t xml:space="preserve">)”, estipulada por M B W LTDA ME, com vigência iniciada em 13/11/2013 (contestação, item 3);</w:t>
      </w:r>
    </w:p>
    <w:p>
      <w:pPr>
        <w:spacing w:before="0" w:after="120" w:line="360" w:lineRule="auto"/>
        <w:ind w:left="0" w:firstLine="1134"/>
        <w:jc w:val="both"/>
      </w:pPr>
      <w:r>
        <w:rPr>
          <w:rFonts w:ascii="Arial" w:eastAsia="Arial" w:hAnsi="Arial" w:cs="Arial"/>
          <w:b/>
          <w:color w:val="000000"/>
          <w:sz w:val="24"/>
          <w:szCs w:val="24"/>
        </w:rPr>
        <w:t xml:space="preserve">(b)</w:t>
      </w:r>
      <w:r>
        <w:rPr>
          <w:rFonts w:ascii="Arial" w:eastAsia="Arial" w:hAnsi="Arial" w:cs="Arial"/>
          <w:color w:val="000000"/>
          <w:sz w:val="24"/>
          <w:szCs w:val="24"/>
        </w:rPr>
        <w:t xml:space="preserve"> o percentual de </w:t>
      </w:r>
      <w:r>
        <w:rPr>
          <w:rFonts w:ascii="Arial" w:eastAsia="Arial" w:hAnsi="Arial" w:cs="Arial"/>
          <w:b/>
          <w:color w:val="000000"/>
          <w:sz w:val="24"/>
          <w:szCs w:val="24"/>
        </w:rPr>
        <w:t xml:space="preserve">77,00%</w:t>
      </w:r>
      <w:r>
        <w:rPr>
          <w:rFonts w:ascii="Arial" w:eastAsia="Arial" w:hAnsi="Arial" w:cs="Arial"/>
          <w:color w:val="000000"/>
          <w:sz w:val="24"/>
          <w:szCs w:val="24"/>
        </w:rPr>
        <w:t xml:space="preserve"> de reajuste por faixa etária aplicado ao 2º Autor, que completou 59 anos em novembro de 2021 (item 49, “Novembro de 2021 (Faixa etária)”), bem como os eventos etários dos demais beneficiários em 2023 (24,00% e 10,00%);</w:t>
      </w:r>
    </w:p>
    <w:p>
      <w:pPr>
        <w:spacing w:before="0" w:after="120" w:line="360" w:lineRule="auto"/>
        <w:ind w:left="0" w:firstLine="1134"/>
        <w:jc w:val="both"/>
      </w:pPr>
      <w:r>
        <w:rPr>
          <w:rFonts w:ascii="Arial" w:eastAsia="Arial" w:hAnsi="Arial" w:cs="Arial"/>
          <w:b/>
          <w:color w:val="000000"/>
          <w:sz w:val="24"/>
          <w:szCs w:val="24"/>
        </w:rPr>
        <w:t xml:space="preserve">(c)</w:t>
      </w:r>
      <w:r>
        <w:rPr>
          <w:rFonts w:ascii="Arial" w:eastAsia="Arial" w:hAnsi="Arial" w:cs="Arial"/>
          <w:color w:val="000000"/>
          <w:sz w:val="24"/>
          <w:szCs w:val="24"/>
        </w:rPr>
        <w:t xml:space="preserve"> a composição dos reajustes anuais de novembro de 2021 a novembro de 2025 — </w:t>
      </w:r>
      <w:r>
        <w:rPr>
          <w:rFonts w:ascii="Arial" w:eastAsia="Arial" w:hAnsi="Arial" w:cs="Arial"/>
          <w:b/>
          <w:color w:val="000000"/>
          <w:sz w:val="24"/>
          <w:szCs w:val="24"/>
        </w:rPr>
        <w:t xml:space="preserve">9,02%, 19,25%, 23,79%, 20,96% e 15,11%</w:t>
      </w:r>
      <w:r>
        <w:rPr>
          <w:rFonts w:ascii="Arial" w:eastAsia="Arial" w:hAnsi="Arial" w:cs="Arial"/>
          <w:color w:val="000000"/>
          <w:sz w:val="24"/>
          <w:szCs w:val="24"/>
        </w:rPr>
        <w:t xml:space="preserve"> —, com a indicação, pela própria Requerida, de que </w:t>
      </w:r>
      <w:r>
        <w:rPr>
          <w:rFonts w:ascii="Arial" w:eastAsia="Arial" w:hAnsi="Arial" w:cs="Arial"/>
          <w:b/>
          <w:color w:val="000000"/>
          <w:sz w:val="24"/>
          <w:szCs w:val="24"/>
        </w:rPr>
        <w:t xml:space="preserve">sinistralidade</w:t>
      </w:r>
      <w:r>
        <w:rPr>
          <w:rFonts w:ascii="Arial" w:eastAsia="Arial" w:hAnsi="Arial" w:cs="Arial"/>
          <w:color w:val="000000"/>
          <w:sz w:val="24"/>
          <w:szCs w:val="24"/>
        </w:rPr>
        <w:t xml:space="preserve"> compõe todos os ciclos e é o </w:t>
      </w:r>
      <w:r>
        <w:rPr>
          <w:rFonts w:ascii="Arial" w:eastAsia="Arial" w:hAnsi="Arial" w:cs="Arial"/>
          <w:b/>
          <w:color w:val="000000"/>
          <w:sz w:val="24"/>
          <w:szCs w:val="24"/>
        </w:rPr>
        <w:t xml:space="preserve">único</w:t>
      </w:r>
      <w:r>
        <w:rPr>
          <w:rFonts w:ascii="Arial" w:eastAsia="Arial" w:hAnsi="Arial" w:cs="Arial"/>
          <w:color w:val="000000"/>
          <w:sz w:val="24"/>
          <w:szCs w:val="24"/>
        </w:rPr>
        <w:t xml:space="preserve"> componente do ciclo de 2025 (item 49);</w:t>
      </w:r>
    </w:p>
    <w:p>
      <w:pPr>
        <w:spacing w:before="0" w:after="120" w:line="360" w:lineRule="auto"/>
        <w:ind w:left="0" w:firstLine="1134"/>
        <w:jc w:val="both"/>
      </w:pPr>
      <w:r>
        <w:rPr>
          <w:rFonts w:ascii="Arial" w:eastAsia="Arial" w:hAnsi="Arial" w:cs="Arial"/>
          <w:b/>
          <w:color w:val="000000"/>
          <w:sz w:val="24"/>
          <w:szCs w:val="24"/>
        </w:rPr>
        <w:t xml:space="preserve">(d)</w:t>
      </w:r>
      <w:r>
        <w:rPr>
          <w:rFonts w:ascii="Arial" w:eastAsia="Arial" w:hAnsi="Arial" w:cs="Arial"/>
          <w:color w:val="000000"/>
          <w:sz w:val="24"/>
          <w:szCs w:val="24"/>
        </w:rPr>
        <w:t xml:space="preserve"> que a Requerida </w:t>
      </w:r>
      <w:r>
        <w:rPr>
          <w:rFonts w:ascii="Arial" w:eastAsia="Arial" w:hAnsi="Arial" w:cs="Arial"/>
          <w:b/>
          <w:color w:val="000000"/>
          <w:sz w:val="24"/>
          <w:szCs w:val="24"/>
        </w:rPr>
        <w:t xml:space="preserve">não comercializa planos individuais ou familiares desde 2007</w:t>
      </w:r>
      <w:r>
        <w:rPr>
          <w:rFonts w:ascii="Arial" w:eastAsia="Arial" w:hAnsi="Arial" w:cs="Arial"/>
          <w:color w:val="000000"/>
          <w:sz w:val="24"/>
          <w:szCs w:val="24"/>
        </w:rPr>
        <w:t xml:space="preserve"> (itens 13 e 28), circunstância que, como se verá, longe de afastar o “falso coletivo”, o explica; e</w:t>
      </w:r>
    </w:p>
    <w:p>
      <w:pPr>
        <w:spacing w:before="0" w:after="120" w:line="360" w:lineRule="auto"/>
        <w:ind w:left="0" w:firstLine="1134"/>
        <w:jc w:val="both"/>
      </w:pPr>
      <w:r>
        <w:rPr>
          <w:rFonts w:ascii="Arial" w:eastAsia="Arial" w:hAnsi="Arial" w:cs="Arial"/>
          <w:b/>
          <w:color w:val="000000"/>
          <w:sz w:val="24"/>
          <w:szCs w:val="24"/>
        </w:rPr>
        <w:t xml:space="preserve">(e)</w:t>
      </w:r>
      <w:r>
        <w:rPr>
          <w:rFonts w:ascii="Arial" w:eastAsia="Arial" w:hAnsi="Arial" w:cs="Arial"/>
          <w:color w:val="000000"/>
          <w:sz w:val="24"/>
          <w:szCs w:val="24"/>
        </w:rPr>
        <w:t xml:space="preserve"> que a contestação </w:t>
      </w:r>
      <w:r>
        <w:rPr>
          <w:rFonts w:ascii="Arial" w:eastAsia="Arial" w:hAnsi="Arial" w:cs="Arial"/>
          <w:b/>
          <w:color w:val="000000"/>
          <w:sz w:val="24"/>
          <w:szCs w:val="24"/>
        </w:rPr>
        <w:t xml:space="preserve">não demonstra</w:t>
      </w:r>
      <w:r>
        <w:rPr>
          <w:rFonts w:ascii="Arial" w:eastAsia="Arial" w:hAnsi="Arial" w:cs="Arial"/>
          <w:color w:val="000000"/>
          <w:sz w:val="24"/>
          <w:szCs w:val="24"/>
        </w:rPr>
        <w:t xml:space="preserve"> o cálculo da sinistralidade, o estudo atuarial da faixa etária, a nota técnica registrada ou o agrupamento de contratos: limita-se a </w:t>
      </w:r>
      <w:r>
        <w:rPr>
          <w:rFonts w:ascii="Arial" w:eastAsia="Arial" w:hAnsi="Arial" w:cs="Arial"/>
          <w:b/>
          <w:color w:val="000000"/>
          <w:sz w:val="24"/>
          <w:szCs w:val="24"/>
        </w:rPr>
        <w:t xml:space="preserve">afirmar</w:t>
      </w:r>
      <w:r>
        <w:rPr>
          <w:rFonts w:ascii="Arial" w:eastAsia="Arial" w:hAnsi="Arial" w:cs="Arial"/>
          <w:color w:val="000000"/>
          <w:sz w:val="24"/>
          <w:szCs w:val="24"/>
        </w:rPr>
        <w:t xml:space="preserve"> a regularidade dos percentuais e a declarar que anexa as Condições Gerais da apólice (item 48) e protocolos de comunicação à ANS (item 50).</w:t>
      </w:r>
    </w:p>
    <w:p>
      <w:pPr>
        <w:keepNext/>
        <w:spacing w:before="240" w:after="120" w:line="360" w:lineRule="auto"/>
        <w:jc w:val="left"/>
      </w:pPr>
      <w:r>
        <w:rPr>
          <w:rFonts w:ascii="Arial" w:eastAsia="Arial" w:hAnsi="Arial" w:cs="Arial"/>
          <w:b/>
          <w:color w:val="000000"/>
          <w:sz w:val="24"/>
          <w:szCs w:val="24"/>
        </w:rPr>
        <w:t xml:space="preserve">II — DA PRESCRIÇÃO (ARTS. 350 E 351 DO CPC)</w:t>
      </w:r>
    </w:p>
    <w:p>
      <w:pPr>
        <w:keepNext/>
        <w:spacing w:before="120" w:after="60" w:line="360" w:lineRule="auto"/>
        <w:jc w:val="left"/>
      </w:pPr>
      <w:r>
        <w:rPr>
          <w:rFonts w:ascii="Arial" w:eastAsia="Arial" w:hAnsi="Arial" w:cs="Arial"/>
          <w:b/>
          <w:color w:val="000000"/>
          <w:sz w:val="24"/>
          <w:szCs w:val="24"/>
        </w:rPr>
        <w:t xml:space="preserve">II.1. Inaplicabilidade do prazo ânuo do art. 206, § 1º, II, do Código Civil</w:t>
      </w:r>
    </w:p>
    <w:p>
      <w:pPr>
        <w:spacing w:before="0" w:after="120" w:line="360" w:lineRule="auto"/>
        <w:ind w:left="0" w:firstLine="1134"/>
        <w:jc w:val="both"/>
      </w:pPr>
      <w:r>
        <w:rPr>
          <w:rFonts w:ascii="Arial" w:eastAsia="Arial" w:hAnsi="Arial" w:cs="Arial"/>
          <w:color w:val="000000"/>
          <w:sz w:val="24"/>
          <w:szCs w:val="24"/>
        </w:rPr>
        <w:t xml:space="preserve">A Requerida invoca o prazo de um ano previsto para a pretensão do segurado contra o segurador e pede a extinção do processo com resolução do mérito. A tese não se sustenta.</w:t>
      </w:r>
    </w:p>
    <w:p>
      <w:pPr>
        <w:spacing w:before="0" w:after="120" w:line="360" w:lineRule="auto"/>
        <w:ind w:left="0" w:firstLine="1134"/>
        <w:jc w:val="both"/>
      </w:pPr>
      <w:r>
        <w:rPr>
          <w:rFonts w:ascii="Arial" w:eastAsia="Arial" w:hAnsi="Arial" w:cs="Arial"/>
          <w:color w:val="000000"/>
          <w:sz w:val="24"/>
          <w:szCs w:val="24"/>
        </w:rPr>
        <w:t xml:space="preserve">O único precedente que a contestação transcreve em apoio (AgRg no Ag 1.352.253/RS) tem, </w:t>
      </w:r>
      <w:r>
        <w:rPr>
          <w:rFonts w:ascii="Arial" w:eastAsia="Arial" w:hAnsi="Arial" w:cs="Arial"/>
          <w:b/>
          <w:color w:val="000000"/>
          <w:sz w:val="24"/>
          <w:szCs w:val="24"/>
        </w:rPr>
        <w:t xml:space="preserve">segundo a própria ementa reproduzida pela Requerida</w:t>
      </w:r>
      <w:r>
        <w:rPr>
          <w:rFonts w:ascii="Arial" w:eastAsia="Arial" w:hAnsi="Arial" w:cs="Arial"/>
          <w:color w:val="000000"/>
          <w:sz w:val="24"/>
          <w:szCs w:val="24"/>
        </w:rPr>
        <w:t xml:space="preserve">, por objeto “ação de cobrança de indenização fundada em contrato de seguro”, em hipótese de rescisão contratual. Não se discute aqui indenização securitária, mas </w:t>
      </w:r>
      <w:r>
        <w:rPr>
          <w:rFonts w:ascii="Arial" w:eastAsia="Arial" w:hAnsi="Arial" w:cs="Arial"/>
          <w:b/>
          <w:color w:val="000000"/>
          <w:sz w:val="24"/>
          <w:szCs w:val="24"/>
        </w:rPr>
        <w:t xml:space="preserve">a validade de cláusulas e percentuais de reajuste</w:t>
      </w:r>
      <w:r>
        <w:rPr>
          <w:rFonts w:ascii="Arial" w:eastAsia="Arial" w:hAnsi="Arial" w:cs="Arial"/>
          <w:color w:val="000000"/>
          <w:sz w:val="24"/>
          <w:szCs w:val="24"/>
        </w:rPr>
        <w:t xml:space="preserve"> em contrato de assistência à saúde de trato sucessivo e a consequente repetição do que foi pago a maior.</w:t>
      </w:r>
    </w:p>
    <w:p>
      <w:pPr>
        <w:spacing w:before="0" w:after="120" w:line="360" w:lineRule="auto"/>
        <w:ind w:left="0" w:firstLine="1134"/>
        <w:jc w:val="both"/>
      </w:pPr>
      <w:r>
        <w:rPr>
          <w:rFonts w:ascii="Arial" w:eastAsia="Arial" w:hAnsi="Arial" w:cs="Arial"/>
          <w:color w:val="000000"/>
          <w:sz w:val="24"/>
          <w:szCs w:val="24"/>
        </w:rPr>
        <w:t xml:space="preserve">Para essa hipótese, o Superior Tribunal de Justiça fixou, no </w:t>
      </w:r>
      <w:r>
        <w:rPr>
          <w:rFonts w:ascii="Arial" w:eastAsia="Arial" w:hAnsi="Arial" w:cs="Arial"/>
          <w:b/>
          <w:color w:val="000000"/>
          <w:sz w:val="24"/>
          <w:szCs w:val="24"/>
        </w:rPr>
        <w:t xml:space="preserve">Tema 610</w:t>
      </w:r>
      <w:r>
        <w:rPr>
          <w:rFonts w:ascii="Arial" w:eastAsia="Arial" w:hAnsi="Arial" w:cs="Arial"/>
          <w:color w:val="000000"/>
          <w:sz w:val="24"/>
          <w:szCs w:val="24"/>
        </w:rPr>
        <w:t xml:space="preserve"> (REsp 1.361.182/RS, Segunda Seção), que, na vigência de contrato de plano ou de seguro de assistência à saúde, a pretensão condenatória decorrente da declaração de nulidade de cláusula de reajuste prescreve em </w:t>
      </w:r>
      <w:r>
        <w:rPr>
          <w:rFonts w:ascii="Arial" w:eastAsia="Arial" w:hAnsi="Arial" w:cs="Arial"/>
          <w:b/>
          <w:color w:val="000000"/>
          <w:sz w:val="24"/>
          <w:szCs w:val="24"/>
        </w:rPr>
        <w:t xml:space="preserve">três anos</w:t>
      </w:r>
      <w:r>
        <w:rPr>
          <w:rFonts w:ascii="Arial" w:eastAsia="Arial" w:hAnsi="Arial" w:cs="Arial"/>
          <w:color w:val="000000"/>
          <w:sz w:val="24"/>
          <w:szCs w:val="24"/>
        </w:rPr>
        <w:t xml:space="preserve"> (art. 206, § 3º, IV, do Código Civil de 2002), e não em um. O prazo aplicável, portanto, é o </w:t>
      </w:r>
      <w:r>
        <w:rPr>
          <w:rFonts w:ascii="Arial" w:eastAsia="Arial" w:hAnsi="Arial" w:cs="Arial"/>
          <w:b/>
          <w:color w:val="000000"/>
          <w:sz w:val="24"/>
          <w:szCs w:val="24"/>
        </w:rPr>
        <w:t xml:space="preserve">trienal</w:t>
      </w:r>
      <w:r>
        <w:rPr>
          <w:rFonts w:ascii="Arial" w:eastAsia="Arial" w:hAnsi="Arial" w:cs="Arial"/>
          <w:color w:val="000000"/>
          <w:sz w:val="24"/>
          <w:szCs w:val="24"/>
        </w:rPr>
        <w:t xml:space="preserve">, e não o ânuo.</w:t>
      </w:r>
    </w:p>
    <w:p>
      <w:pPr>
        <w:keepNext/>
        <w:spacing w:before="120" w:after="60" w:line="360" w:lineRule="auto"/>
        <w:jc w:val="left"/>
      </w:pPr>
      <w:r>
        <w:rPr>
          <w:rFonts w:ascii="Arial" w:eastAsia="Arial" w:hAnsi="Arial" w:cs="Arial"/>
          <w:b/>
          <w:color w:val="000000"/>
          <w:sz w:val="24"/>
          <w:szCs w:val="24"/>
        </w:rPr>
        <w:t xml:space="preserve">II.2. Observância do triênio e persistência da pretensão revisional</w:t>
      </w:r>
    </w:p>
    <w:p>
      <w:pPr>
        <w:spacing w:before="0" w:after="120" w:line="360" w:lineRule="auto"/>
        <w:ind w:left="0" w:firstLine="1134"/>
        <w:jc w:val="both"/>
      </w:pPr>
      <w:r>
        <w:rPr>
          <w:rFonts w:ascii="Arial" w:eastAsia="Arial" w:hAnsi="Arial" w:cs="Arial"/>
          <w:color w:val="000000"/>
          <w:sz w:val="24"/>
          <w:szCs w:val="24"/>
        </w:rPr>
        <w:t xml:space="preserve">A ação foi ajuizada em 31/08/2026, e os Autores já delimitaram o pedido de restituição às </w:t>
      </w:r>
      <w:r>
        <w:rPr>
          <w:rFonts w:ascii="Arial" w:eastAsia="Arial" w:hAnsi="Arial" w:cs="Arial"/>
          <w:b/>
          <w:color w:val="000000"/>
          <w:sz w:val="24"/>
          <w:szCs w:val="24"/>
        </w:rPr>
        <w:t xml:space="preserve">37 competências de agosto/2023 a agosto/2026</w:t>
      </w:r>
      <w:r>
        <w:rPr>
          <w:rFonts w:ascii="Arial" w:eastAsia="Arial" w:hAnsi="Arial" w:cs="Arial"/>
          <w:color w:val="000000"/>
          <w:sz w:val="24"/>
          <w:szCs w:val="24"/>
        </w:rPr>
        <w:t xml:space="preserve">, isto é, ao triênio anterior ao ajuizamento (inicial, itens III.2 e V.7; Quadro Demonstrativo, Id. 289019381). As competências anteriores constam do quadro apenas como base de formação dos prêmios e estão expressamente assinaladas como prescritas.</w:t>
      </w:r>
    </w:p>
    <w:p>
      <w:pPr>
        <w:spacing w:before="0" w:after="120" w:line="360" w:lineRule="auto"/>
        <w:ind w:left="0" w:firstLine="1134"/>
        <w:jc w:val="both"/>
      </w:pPr>
      <w:r>
        <w:rPr>
          <w:rFonts w:ascii="Arial" w:eastAsia="Arial" w:hAnsi="Arial" w:cs="Arial"/>
          <w:color w:val="000000"/>
          <w:sz w:val="24"/>
          <w:szCs w:val="24"/>
        </w:rPr>
        <w:t xml:space="preserve">Quanto à declaração de abusividade e à revisão dos reajustes, o contrato </w:t>
      </w:r>
      <w:r>
        <w:rPr>
          <w:rFonts w:ascii="Arial" w:eastAsia="Arial" w:hAnsi="Arial" w:cs="Arial"/>
          <w:b/>
          <w:color w:val="000000"/>
          <w:sz w:val="24"/>
          <w:szCs w:val="24"/>
        </w:rPr>
        <w:t xml:space="preserve">permanece em vigor</w:t>
      </w:r>
      <w:r>
        <w:rPr>
          <w:rFonts w:ascii="Arial" w:eastAsia="Arial" w:hAnsi="Arial" w:cs="Arial"/>
          <w:color w:val="000000"/>
          <w:sz w:val="24"/>
          <w:szCs w:val="24"/>
        </w:rPr>
        <w:t xml:space="preserve">, e a pretensão revisional, nesse cenário, pode ser deduzida enquanto durar o vínculo (inicial, item III.1), submetendo-se ao prazo trienal apenas a pretensão condenatória de repetição, nos exatos termos do Tema 610. Impõe-se, assim, a rejeição da prejudicial de prescrição.</w:t>
      </w:r>
    </w:p>
    <w:p>
      <w:pPr>
        <w:keepNext/>
        <w:spacing w:before="240" w:after="120" w:line="360" w:lineRule="auto"/>
        <w:jc w:val="left"/>
      </w:pPr>
      <w:r>
        <w:rPr>
          <w:rFonts w:ascii="Arial" w:eastAsia="Arial" w:hAnsi="Arial" w:cs="Arial"/>
          <w:b/>
          <w:color w:val="000000"/>
          <w:sz w:val="24"/>
          <w:szCs w:val="24"/>
        </w:rPr>
        <w:t xml:space="preserve">III — DO ALEGADO “VENIRE CONTRA FACTUM PROPRIUM” E DA SUPOSTA IMPOSSIBILIDADE DO PEDIDO</w:t>
      </w:r>
    </w:p>
    <w:p>
      <w:pPr>
        <w:keepNext/>
        <w:spacing w:before="120" w:after="60" w:line="360" w:lineRule="auto"/>
        <w:jc w:val="left"/>
      </w:pPr>
      <w:r>
        <w:rPr>
          <w:rFonts w:ascii="Arial" w:eastAsia="Arial" w:hAnsi="Arial" w:cs="Arial"/>
          <w:b/>
          <w:color w:val="000000"/>
          <w:sz w:val="24"/>
          <w:szCs w:val="24"/>
        </w:rPr>
        <w:t xml:space="preserve">III.1. O “falso coletivo” é consequência, não contradição</w:t>
      </w:r>
    </w:p>
    <w:p>
      <w:pPr>
        <w:spacing w:before="0" w:after="120" w:line="360" w:lineRule="auto"/>
        <w:ind w:left="0" w:firstLine="1134"/>
        <w:jc w:val="both"/>
      </w:pPr>
      <w:r>
        <w:rPr>
          <w:rFonts w:ascii="Arial" w:eastAsia="Arial" w:hAnsi="Arial" w:cs="Arial"/>
          <w:color w:val="000000"/>
          <w:sz w:val="24"/>
          <w:szCs w:val="24"/>
        </w:rPr>
        <w:t xml:space="preserve">Sustenta a Requerida que os Autores, ao contratarem plano coletivo sabendo que ela não comercializa planos individuais, agiriam de modo contraditório ao pleitear o tratamento dado a estes. O raciocínio inverte a causalidade do fenômeno.</w:t>
      </w:r>
    </w:p>
    <w:p>
      <w:pPr>
        <w:spacing w:before="0" w:after="120" w:line="360" w:lineRule="auto"/>
        <w:ind w:left="0" w:firstLine="1134"/>
        <w:jc w:val="both"/>
      </w:pPr>
      <w:r>
        <w:rPr>
          <w:rFonts w:ascii="Arial" w:eastAsia="Arial" w:hAnsi="Arial" w:cs="Arial"/>
          <w:color w:val="000000"/>
          <w:sz w:val="24"/>
          <w:szCs w:val="24"/>
        </w:rPr>
        <w:t xml:space="preserve">A “falsa coletivização” designa precisamente a situação em que </w:t>
      </w:r>
      <w:r>
        <w:rPr>
          <w:rFonts w:ascii="Arial" w:eastAsia="Arial" w:hAnsi="Arial" w:cs="Arial"/>
          <w:b/>
          <w:color w:val="000000"/>
          <w:sz w:val="24"/>
          <w:szCs w:val="24"/>
        </w:rPr>
        <w:t xml:space="preserve">famílias ou grupos minúsculos</w:t>
      </w:r>
      <w:r>
        <w:rPr>
          <w:rFonts w:ascii="Arial" w:eastAsia="Arial" w:hAnsi="Arial" w:cs="Arial"/>
          <w:color w:val="000000"/>
          <w:sz w:val="24"/>
          <w:szCs w:val="24"/>
        </w:rPr>
        <w:t xml:space="preserve">, sem alternativa de contratação individual junto à operadora, ingressam em contratos formalmente coletivos, mas destituídos de qualquer das características que justificam o regime menos protetivo dos coletivos verdadeiros, a começar pelo poder de negociação. Que a Requerida confesse não oferecer o produto individual desde 2007 e ofereça, em seu lugar, um “Seguro para Pequenos Grupos” (item 3) </w:t>
      </w:r>
      <w:r>
        <w:rPr>
          <w:rFonts w:ascii="Arial" w:eastAsia="Arial" w:hAnsi="Arial" w:cs="Arial"/>
          <w:b/>
          <w:color w:val="000000"/>
          <w:sz w:val="24"/>
          <w:szCs w:val="24"/>
        </w:rPr>
        <w:t xml:space="preserve">reforça</w:t>
      </w:r>
      <w:r>
        <w:rPr>
          <w:rFonts w:ascii="Arial" w:eastAsia="Arial" w:hAnsi="Arial" w:cs="Arial"/>
          <w:color w:val="000000"/>
          <w:sz w:val="24"/>
          <w:szCs w:val="24"/>
        </w:rPr>
        <w:t xml:space="preserve">, e não afasta, a conclusão de que o contrato foi o meio disponível, e imposto pelo mercado, para que um núcleo familiar de quatro vidas obtivesse cobertura.</w:t>
      </w:r>
    </w:p>
    <w:p>
      <w:pPr>
        <w:spacing w:before="0" w:after="120" w:line="360" w:lineRule="auto"/>
        <w:ind w:left="0" w:firstLine="1134"/>
        <w:jc w:val="both"/>
      </w:pPr>
      <w:r>
        <w:rPr>
          <w:rFonts w:ascii="Arial" w:eastAsia="Arial" w:hAnsi="Arial" w:cs="Arial"/>
          <w:color w:val="000000"/>
          <w:sz w:val="24"/>
          <w:szCs w:val="24"/>
        </w:rPr>
        <w:t xml:space="preserve">Tampouco procede a alegação de “livre negociação” dos índices (itens 40 e 69). A Requerida não afirma, e muito menos prova, que tenha havido qualquer negociação com a estipulante — sociedade unipessoal do próprio titular, sem empregados e com objeto social de locação de imóveis próprios (inicial, item IV.1; Id. 289019352) — acerca dos reajustes de 2021 a 2025. Os percentuais </w:t>
      </w:r>
      <w:r>
        <w:rPr>
          <w:rFonts w:ascii="Arial" w:eastAsia="Arial" w:hAnsi="Arial" w:cs="Arial"/>
          <w:b/>
          <w:color w:val="000000"/>
          <w:sz w:val="24"/>
          <w:szCs w:val="24"/>
        </w:rPr>
        <w:t xml:space="preserve">foram aplicados</w:t>
      </w:r>
      <w:r>
        <w:rPr>
          <w:rFonts w:ascii="Arial" w:eastAsia="Arial" w:hAnsi="Arial" w:cs="Arial"/>
          <w:color w:val="000000"/>
          <w:sz w:val="24"/>
          <w:szCs w:val="24"/>
        </w:rPr>
        <w:t xml:space="preserve"> pela operadora (item 49: “foi aplicado reajuste”), em contrato de adesão, sem que se tenha notícia de contraproposta ou de qualquer debate possível entre partes tão assimétricas. A boa-fé objetiva (arts. 113 e 422 do Código Civil), invocada pela Requerida, impõe deveres de lealdade e informação a quem redigiu o contrato e detém a informação técnica, e não ao consumidor que nele aderiu (CDC, arts. 6º, III, 47 e 51, IV).</w:t>
      </w:r>
    </w:p>
    <w:p>
      <w:pPr>
        <w:keepNext/>
        <w:spacing w:before="120" w:after="60" w:line="360" w:lineRule="auto"/>
        <w:jc w:val="left"/>
      </w:pPr>
      <w:r>
        <w:rPr>
          <w:rFonts w:ascii="Arial" w:eastAsia="Arial" w:hAnsi="Arial" w:cs="Arial"/>
          <w:b/>
          <w:color w:val="000000"/>
          <w:sz w:val="24"/>
          <w:szCs w:val="24"/>
        </w:rPr>
        <w:t xml:space="preserve">III.2. Os Autores não pedem plano individual: pedem reajuste lastreado</w:t>
      </w:r>
    </w:p>
    <w:p>
      <w:pPr>
        <w:spacing w:before="0" w:after="120" w:line="360" w:lineRule="auto"/>
        <w:ind w:left="0" w:firstLine="1134"/>
        <w:jc w:val="both"/>
      </w:pPr>
      <w:r>
        <w:rPr>
          <w:rFonts w:ascii="Arial" w:eastAsia="Arial" w:hAnsi="Arial" w:cs="Arial"/>
          <w:color w:val="000000"/>
          <w:sz w:val="24"/>
          <w:szCs w:val="24"/>
        </w:rPr>
        <w:t xml:space="preserve">Os itens 28 a 38 da contestação combatem um pedido que </w:t>
      </w:r>
      <w:r>
        <w:rPr>
          <w:rFonts w:ascii="Arial" w:eastAsia="Arial" w:hAnsi="Arial" w:cs="Arial"/>
          <w:b/>
          <w:color w:val="000000"/>
          <w:sz w:val="24"/>
          <w:szCs w:val="24"/>
        </w:rPr>
        <w:t xml:space="preserve">não foi formulado</w:t>
      </w:r>
      <w:r>
        <w:rPr>
          <w:rFonts w:ascii="Arial" w:eastAsia="Arial" w:hAnsi="Arial" w:cs="Arial"/>
          <w:color w:val="000000"/>
          <w:sz w:val="24"/>
          <w:szCs w:val="24"/>
        </w:rPr>
        <w:t xml:space="preserve">. Os Autores não requerem que a Requerida lhes ofereça plano individual, migre o contrato ou passe a comercializar produto que não vende. Pedem o reconhecimento de que o contrato que ela </w:t>
      </w:r>
      <w:r>
        <w:rPr>
          <w:rFonts w:ascii="Arial" w:eastAsia="Arial" w:hAnsi="Arial" w:cs="Arial"/>
          <w:b/>
          <w:color w:val="000000"/>
          <w:sz w:val="24"/>
          <w:szCs w:val="24"/>
        </w:rPr>
        <w:t xml:space="preserve">efetivamente comercializou</w:t>
      </w:r>
      <w:r>
        <w:rPr>
          <w:rFonts w:ascii="Arial" w:eastAsia="Arial" w:hAnsi="Arial" w:cs="Arial"/>
          <w:color w:val="000000"/>
          <w:sz w:val="24"/>
          <w:szCs w:val="24"/>
        </w:rPr>
        <w:t xml:space="preserve"> é um “falso coletivo” e que, por isso, os seus reajustes seguem os índices fixados pela ANS para os planos individuais e familiares, como o Superior Tribunal de Justiça já decidiu para essa espécie de contrato (item IV.2 desta réplica).</w:t>
      </w:r>
    </w:p>
    <w:p>
      <w:pPr>
        <w:spacing w:before="0" w:after="120" w:line="360" w:lineRule="auto"/>
        <w:ind w:left="0" w:firstLine="1134"/>
        <w:jc w:val="both"/>
      </w:pPr>
      <w:r>
        <w:rPr>
          <w:rFonts w:ascii="Arial" w:eastAsia="Arial" w:hAnsi="Arial" w:cs="Arial"/>
          <w:color w:val="000000"/>
          <w:sz w:val="24"/>
          <w:szCs w:val="24"/>
        </w:rPr>
        <w:t xml:space="preserve">Os precedentes invocados pela Requerida confirmam a impertinência. Segundo as ementas por ela mesma transcritas, o </w:t>
      </w:r>
      <w:r>
        <w:rPr>
          <w:rFonts w:ascii="Arial" w:eastAsia="Arial" w:hAnsi="Arial" w:cs="Arial"/>
          <w:b/>
          <w:color w:val="000000"/>
          <w:sz w:val="24"/>
          <w:szCs w:val="24"/>
        </w:rPr>
        <w:t xml:space="preserve">REsp 1.592.278/DF</w:t>
      </w:r>
      <w:r>
        <w:rPr>
          <w:rFonts w:ascii="Arial" w:eastAsia="Arial" w:hAnsi="Arial" w:cs="Arial"/>
          <w:color w:val="000000"/>
          <w:sz w:val="24"/>
          <w:szCs w:val="24"/>
        </w:rPr>
        <w:t xml:space="preserve"> versa sobre empregado demitido sem justa causa e a prorrogação temporária prevista no art. 30 da Lei 9.656/1998; o </w:t>
      </w:r>
      <w:r>
        <w:rPr>
          <w:rFonts w:ascii="Arial" w:eastAsia="Arial" w:hAnsi="Arial" w:cs="Arial"/>
          <w:b/>
          <w:color w:val="000000"/>
          <w:sz w:val="24"/>
          <w:szCs w:val="24"/>
        </w:rPr>
        <w:t xml:space="preserve">REsp 1.846.502/DF</w:t>
      </w:r>
      <w:r>
        <w:rPr>
          <w:rFonts w:ascii="Arial" w:eastAsia="Arial" w:hAnsi="Arial" w:cs="Arial"/>
          <w:color w:val="000000"/>
          <w:sz w:val="24"/>
          <w:szCs w:val="24"/>
        </w:rPr>
        <w:t xml:space="preserve">, sobre usuário de plano coletivo extinto; e o </w:t>
      </w:r>
      <w:r>
        <w:rPr>
          <w:rFonts w:ascii="Arial" w:eastAsia="Arial" w:hAnsi="Arial" w:cs="Arial"/>
          <w:b/>
          <w:color w:val="000000"/>
          <w:sz w:val="24"/>
          <w:szCs w:val="24"/>
        </w:rPr>
        <w:t xml:space="preserve">Acórdão 1013447 do TJDFT</w:t>
      </w:r>
      <w:r>
        <w:rPr>
          <w:rFonts w:ascii="Arial" w:eastAsia="Arial" w:hAnsi="Arial" w:cs="Arial"/>
          <w:color w:val="000000"/>
          <w:sz w:val="24"/>
          <w:szCs w:val="24"/>
        </w:rPr>
        <w:t xml:space="preserve">, sobre rescisão unilateral de seguro coletivo empresarial e migração para plano individual. Nenhum deles examina a revisão de reajustes de contrato vigente. A livre iniciativa (art. 170 da Constituição Federal) assegura à operadora o direito de </w:t>
      </w:r>
      <w:r>
        <w:rPr>
          <w:rFonts w:ascii="Arial" w:eastAsia="Arial" w:hAnsi="Arial" w:cs="Arial"/>
          <w:b/>
          <w:color w:val="000000"/>
          <w:sz w:val="24"/>
          <w:szCs w:val="24"/>
        </w:rPr>
        <w:t xml:space="preserve">não vender</w:t>
      </w:r>
      <w:r>
        <w:rPr>
          <w:rFonts w:ascii="Arial" w:eastAsia="Arial" w:hAnsi="Arial" w:cs="Arial"/>
          <w:color w:val="000000"/>
          <w:sz w:val="24"/>
          <w:szCs w:val="24"/>
        </w:rPr>
        <w:t xml:space="preserve"> o produto individual; não lhe assegura, porém, a imunidade de impor reajustes desprovidos de lastro ao produto que vende. Se bastasse deixar de comercializar planos individuais para escapar do controle de reajustes, a regulação setorial seria letra morta.</w:t>
      </w:r>
    </w:p>
    <w:p>
      <w:pPr>
        <w:keepNext/>
        <w:spacing w:before="240" w:after="120" w:line="360" w:lineRule="auto"/>
        <w:jc w:val="left"/>
      </w:pPr>
      <w:r>
        <w:rPr>
          <w:rFonts w:ascii="Arial" w:eastAsia="Arial" w:hAnsi="Arial" w:cs="Arial"/>
          <w:b/>
          <w:color w:val="000000"/>
          <w:sz w:val="24"/>
          <w:szCs w:val="24"/>
        </w:rPr>
        <w:t xml:space="preserve">IV — DA NATUREZA DO CONTRATO: “FALSO COLETIVO” E AS CONTRADIÇÕES DA CONTESTAÇÃO</w:t>
      </w:r>
    </w:p>
    <w:p>
      <w:pPr>
        <w:keepNext/>
        <w:spacing w:before="120" w:after="60" w:line="360" w:lineRule="auto"/>
        <w:jc w:val="left"/>
      </w:pPr>
      <w:r>
        <w:rPr>
          <w:rFonts w:ascii="Arial" w:eastAsia="Arial" w:hAnsi="Arial" w:cs="Arial"/>
          <w:b/>
          <w:color w:val="000000"/>
          <w:sz w:val="24"/>
          <w:szCs w:val="24"/>
        </w:rPr>
        <w:t xml:space="preserve">IV.1. A Requerida não sabe, ou não diz, que contrato vendeu</w:t>
      </w:r>
    </w:p>
    <w:p>
      <w:pPr>
        <w:spacing w:before="0" w:after="120" w:line="360" w:lineRule="auto"/>
        <w:ind w:left="0" w:firstLine="1134"/>
        <w:jc w:val="both"/>
      </w:pPr>
      <w:r>
        <w:rPr>
          <w:rFonts w:ascii="Arial" w:eastAsia="Arial" w:hAnsi="Arial" w:cs="Arial"/>
          <w:color w:val="000000"/>
          <w:sz w:val="24"/>
          <w:szCs w:val="24"/>
        </w:rPr>
        <w:t xml:space="preserve">A contestação qualifica o mesmo contrato de formas inconciliáveis: ora como “seguro saúde coletivo </w:t>
      </w:r>
      <w:r>
        <w:rPr>
          <w:rFonts w:ascii="Arial" w:eastAsia="Arial" w:hAnsi="Arial" w:cs="Arial"/>
          <w:b/>
          <w:color w:val="000000"/>
          <w:sz w:val="24"/>
          <w:szCs w:val="24"/>
        </w:rPr>
        <w:t xml:space="preserve">SPG (Seguro para Pequenos Grupos)</w:t>
      </w:r>
      <w:r>
        <w:rPr>
          <w:rFonts w:ascii="Arial" w:eastAsia="Arial" w:hAnsi="Arial" w:cs="Arial"/>
          <w:color w:val="000000"/>
          <w:sz w:val="24"/>
          <w:szCs w:val="24"/>
        </w:rPr>
        <w:t xml:space="preserve"> estipulado por M B W LTDA ME” (item 3); ora como coletivo </w:t>
      </w:r>
      <w:r>
        <w:rPr>
          <w:rFonts w:ascii="Arial" w:eastAsia="Arial" w:hAnsi="Arial" w:cs="Arial"/>
          <w:b/>
          <w:color w:val="000000"/>
          <w:sz w:val="24"/>
          <w:szCs w:val="24"/>
        </w:rPr>
        <w:t xml:space="preserve">empresarial</w:t>
      </w:r>
      <w:r>
        <w:rPr>
          <w:rFonts w:ascii="Arial" w:eastAsia="Arial" w:hAnsi="Arial" w:cs="Arial"/>
          <w:color w:val="000000"/>
          <w:sz w:val="24"/>
          <w:szCs w:val="24"/>
        </w:rPr>
        <w:t xml:space="preserve"> (itens 14 e 20); ora como coletivo </w:t>
      </w:r>
      <w:r>
        <w:rPr>
          <w:rFonts w:ascii="Arial" w:eastAsia="Arial" w:hAnsi="Arial" w:cs="Arial"/>
          <w:b/>
          <w:color w:val="000000"/>
          <w:sz w:val="24"/>
          <w:szCs w:val="24"/>
        </w:rPr>
        <w:t xml:space="preserve">por adesão</w:t>
      </w:r>
      <w:r>
        <w:rPr>
          <w:rFonts w:ascii="Arial" w:eastAsia="Arial" w:hAnsi="Arial" w:cs="Arial"/>
          <w:color w:val="000000"/>
          <w:sz w:val="24"/>
          <w:szCs w:val="24"/>
        </w:rPr>
        <w:t xml:space="preserve"> (itens 47 e 64 a 68), chegando a afirmar que “os </w:t>
      </w:r>
      <w:r>
        <w:rPr>
          <w:rFonts w:ascii="Arial" w:eastAsia="Arial" w:hAnsi="Arial" w:cs="Arial"/>
          <w:b/>
          <w:color w:val="000000"/>
          <w:sz w:val="24"/>
          <w:szCs w:val="24"/>
        </w:rPr>
        <w:t xml:space="preserve">três</w:t>
      </w:r>
      <w:r>
        <w:rPr>
          <w:rFonts w:ascii="Arial" w:eastAsia="Arial" w:hAnsi="Arial" w:cs="Arial"/>
          <w:color w:val="000000"/>
          <w:sz w:val="24"/>
          <w:szCs w:val="24"/>
        </w:rPr>
        <w:t xml:space="preserve"> segurados” teriam livremente se colocado em condição apta ao ingresso (item 20), quando a apólice abrange </w:t>
      </w:r>
      <w:r>
        <w:rPr>
          <w:rFonts w:ascii="Arial" w:eastAsia="Arial" w:hAnsi="Arial" w:cs="Arial"/>
          <w:b/>
          <w:color w:val="000000"/>
          <w:sz w:val="24"/>
          <w:szCs w:val="24"/>
        </w:rPr>
        <w:t xml:space="preserve">quatro</w:t>
      </w:r>
      <w:r>
        <w:rPr>
          <w:rFonts w:ascii="Arial" w:eastAsia="Arial" w:hAnsi="Arial" w:cs="Arial"/>
          <w:color w:val="000000"/>
          <w:sz w:val="24"/>
          <w:szCs w:val="24"/>
        </w:rPr>
        <w:t xml:space="preserve"> vidas, do mesmo núcleo familiar (inicial, item IV.1; carteirinhas, Id. 289019365).</w:t>
      </w:r>
    </w:p>
    <w:p>
      <w:pPr>
        <w:spacing w:before="0" w:after="120" w:line="360" w:lineRule="auto"/>
        <w:ind w:left="0" w:firstLine="1134"/>
        <w:jc w:val="both"/>
      </w:pPr>
      <w:r>
        <w:rPr>
          <w:rFonts w:ascii="Arial" w:eastAsia="Arial" w:hAnsi="Arial" w:cs="Arial"/>
          <w:color w:val="000000"/>
          <w:sz w:val="24"/>
          <w:szCs w:val="24"/>
        </w:rPr>
        <w:t xml:space="preserve">Mais grave: ao descrever o contrato “por adesão”, a Requerida transcreve a orientação segundo a qual a modalidade se destina a coletividades de </w:t>
      </w:r>
      <w:r>
        <w:rPr>
          <w:rFonts w:ascii="Arial" w:eastAsia="Arial" w:hAnsi="Arial" w:cs="Arial"/>
          <w:b/>
          <w:color w:val="000000"/>
          <w:sz w:val="24"/>
          <w:szCs w:val="24"/>
        </w:rPr>
        <w:t xml:space="preserve">categoria profissional, classista ou setorial</w:t>
      </w:r>
      <w:r>
        <w:rPr>
          <w:rFonts w:ascii="Arial" w:eastAsia="Arial" w:hAnsi="Arial" w:cs="Arial"/>
          <w:color w:val="000000"/>
          <w:sz w:val="24"/>
          <w:szCs w:val="24"/>
        </w:rPr>
        <w:t xml:space="preserve"> (itens 64 a 67). É incontroverso que a estipulante é sociedade unipessoal, sem empregados e sem qualquer vínculo associativo com os beneficiários, que são o sócio único, a companheira e os filhos. Pela própria régua que a Requerida invoca, o contrato </w:t>
      </w:r>
      <w:r>
        <w:rPr>
          <w:rFonts w:ascii="Arial" w:eastAsia="Arial" w:hAnsi="Arial" w:cs="Arial"/>
          <w:b/>
          <w:color w:val="000000"/>
          <w:sz w:val="24"/>
          <w:szCs w:val="24"/>
        </w:rPr>
        <w:t xml:space="preserve">não é</w:t>
      </w:r>
      <w:r>
        <w:rPr>
          <w:rFonts w:ascii="Arial" w:eastAsia="Arial" w:hAnsi="Arial" w:cs="Arial"/>
          <w:color w:val="000000"/>
          <w:sz w:val="24"/>
          <w:szCs w:val="24"/>
        </w:rPr>
        <w:t xml:space="preserve"> coletivo por adesão e, pelos fatos, tampouco é coletivo empresarial em sentido próprio, pois não há população segurável vinculada à empresa.</w:t>
      </w:r>
    </w:p>
    <w:p>
      <w:pPr>
        <w:spacing w:before="0" w:after="120" w:line="360" w:lineRule="auto"/>
        <w:ind w:left="0" w:firstLine="1134"/>
        <w:jc w:val="both"/>
      </w:pPr>
      <w:r>
        <w:rPr>
          <w:rFonts w:ascii="Arial" w:eastAsia="Arial" w:hAnsi="Arial" w:cs="Arial"/>
          <w:color w:val="000000"/>
          <w:sz w:val="24"/>
          <w:szCs w:val="24"/>
        </w:rPr>
        <w:t xml:space="preserve">Por fim, a designação </w:t>
      </w:r>
      <w:r>
        <w:rPr>
          <w:rFonts w:ascii="Arial" w:eastAsia="Arial" w:hAnsi="Arial" w:cs="Arial"/>
          <w:b/>
          <w:color w:val="000000"/>
          <w:sz w:val="24"/>
          <w:szCs w:val="24"/>
        </w:rPr>
        <w:t xml:space="preserve">“Seguro para Pequenos Grupos”</w:t>
      </w:r>
      <w:r>
        <w:rPr>
          <w:rFonts w:ascii="Arial" w:eastAsia="Arial" w:hAnsi="Arial" w:cs="Arial"/>
          <w:color w:val="000000"/>
          <w:sz w:val="24"/>
          <w:szCs w:val="24"/>
        </w:rPr>
        <w:t xml:space="preserve">, adotada pela própria Requerida, é confissão de que se está diante de carteira de dimensão reduzida. Tratando-se de contrato coletivo com menos de 30 beneficiários, a operadora estava sujeita às regras de </w:t>
      </w:r>
      <w:r>
        <w:rPr>
          <w:rFonts w:ascii="Arial" w:eastAsia="Arial" w:hAnsi="Arial" w:cs="Arial"/>
          <w:b/>
          <w:color w:val="000000"/>
          <w:sz w:val="24"/>
          <w:szCs w:val="24"/>
        </w:rPr>
        <w:t xml:space="preserve">agrupamento de contratos</w:t>
      </w:r>
      <w:r>
        <w:rPr>
          <w:rFonts w:ascii="Arial" w:eastAsia="Arial" w:hAnsi="Arial" w:cs="Arial"/>
          <w:color w:val="000000"/>
          <w:sz w:val="24"/>
          <w:szCs w:val="24"/>
        </w:rPr>
        <w:t xml:space="preserve"> (pool de risco, com percentual único de reajuste) da </w:t>
      </w:r>
      <w:r>
        <w:rPr>
          <w:rFonts w:ascii="Arial" w:eastAsia="Arial" w:hAnsi="Arial" w:cs="Arial"/>
          <w:b/>
          <w:color w:val="000000"/>
          <w:sz w:val="24"/>
          <w:szCs w:val="24"/>
        </w:rPr>
        <w:t xml:space="preserve">RN ANS nº 565/2022</w:t>
      </w:r>
      <w:r>
        <w:rPr>
          <w:rFonts w:ascii="Arial" w:eastAsia="Arial" w:hAnsi="Arial" w:cs="Arial"/>
          <w:color w:val="000000"/>
          <w:sz w:val="24"/>
          <w:szCs w:val="24"/>
        </w:rPr>
        <w:t xml:space="preserve">, justamente para diluir o risco de carteiras diminutas. A contestação silencia por completo sobre o tema: não informa se houve agrupamento, qual o pool, quantas vidas o integraram em cada data-base, nem qual o percentual único calculado.</w:t>
      </w:r>
    </w:p>
    <w:p>
      <w:pPr>
        <w:keepNext/>
        <w:spacing w:before="120" w:after="60" w:line="360" w:lineRule="auto"/>
        <w:jc w:val="left"/>
      </w:pPr>
      <w:r>
        <w:rPr>
          <w:rFonts w:ascii="Arial" w:eastAsia="Arial" w:hAnsi="Arial" w:cs="Arial"/>
          <w:b/>
          <w:color w:val="000000"/>
          <w:sz w:val="24"/>
          <w:szCs w:val="24"/>
        </w:rPr>
        <w:t xml:space="preserve">IV.2. Jurisprudência do Superior Tribunal de Justiça</w:t>
      </w:r>
    </w:p>
    <w:p>
      <w:pPr>
        <w:spacing w:before="0" w:after="120" w:line="360" w:lineRule="auto"/>
        <w:ind w:left="0" w:firstLine="1134"/>
        <w:jc w:val="both"/>
      </w:pPr>
      <w:r>
        <w:rPr>
          <w:rFonts w:ascii="Arial" w:eastAsia="Arial" w:hAnsi="Arial" w:cs="Arial"/>
          <w:color w:val="000000"/>
          <w:sz w:val="24"/>
          <w:szCs w:val="24"/>
        </w:rPr>
        <w:t xml:space="preserve">Reafirma-se a Súmula 608/STJ, que torna aplicável o Código de Defesa do Consumidor ao contrato dos autos, não administrado por entidade de autogestão, e a orientação do Superior Tribunal de Justiça no sentido de que:</w:t>
      </w:r>
    </w:p>
    <w:p>
      <w:pPr>
        <w:spacing w:before="40" w:after="160" w:line="260" w:lineRule="auto"/>
        <w:ind w:left="2268"/>
        <w:jc w:val="both"/>
      </w:pPr>
      <w:r>
        <w:rPr>
          <w:rFonts w:ascii="Arial" w:eastAsia="Arial" w:hAnsi="Arial" w:cs="Arial"/>
          <w:color w:val="000000"/>
          <w:sz w:val="22"/>
          <w:szCs w:val="22"/>
        </w:rPr>
        <w:t xml:space="preserve">“[...] é possível, excepcionalmente, que o contrato de plano de saúde coletivo ou empresarial, que possua número diminuto de participantes, [...] por apresentar natureza de contrato coletivo atípico, seja tratado como plano individual ou familiar, aplicando-se-lhe as normas do Código de Defesa do Consumidor.” (STJ, AgInt no REsp 1.880.442/SP, Rel. Min. Marco Buzzi, Quarta Turma, j. 02/05/2022; no mesmo sentido, AgInt no AREsp 2.085.003/SP, Rel. Min. Antonio Carlos Ferreira, Quarta Turma, j. 15/08/2022)</w:t>
      </w:r>
    </w:p>
    <w:p>
      <w:pPr>
        <w:spacing w:before="0" w:after="120" w:line="360" w:lineRule="auto"/>
        <w:ind w:left="0" w:firstLine="1134"/>
        <w:jc w:val="both"/>
      </w:pPr>
      <w:r>
        <w:rPr>
          <w:rFonts w:ascii="Arial" w:eastAsia="Arial" w:hAnsi="Arial" w:cs="Arial"/>
          <w:color w:val="000000"/>
          <w:sz w:val="24"/>
          <w:szCs w:val="24"/>
        </w:rPr>
        <w:t xml:space="preserve">As decisões foram transcritas na inicial (item V.3) e a contestação não as enfrenta.</w:t>
      </w:r>
    </w:p>
    <w:p>
      <w:pPr>
        <w:spacing w:before="0" w:after="120" w:line="360" w:lineRule="auto"/>
        <w:ind w:left="0" w:firstLine="1134"/>
        <w:jc w:val="both"/>
      </w:pPr>
      <w:r>
        <w:rPr>
          <w:rFonts w:ascii="Arial" w:eastAsia="Arial" w:hAnsi="Arial" w:cs="Arial"/>
          <w:color w:val="000000"/>
          <w:sz w:val="24"/>
          <w:szCs w:val="24"/>
        </w:rPr>
        <w:t xml:space="preserve">A consequência do reconhecimento do falso coletivo é de direito e independe de qualquer prova técnica: o contrato é tratado como individual ou familiar e </w:t>
      </w:r>
      <w:r>
        <w:rPr>
          <w:rFonts w:ascii="Arial" w:eastAsia="Arial" w:hAnsi="Arial" w:cs="Arial"/>
          <w:b/>
          <w:color w:val="000000"/>
          <w:sz w:val="24"/>
          <w:szCs w:val="24"/>
        </w:rPr>
        <w:t xml:space="preserve">os reajustes anuais seguem os índices fixados pela ANS para essa modalidade</w:t>
      </w:r>
      <w:r>
        <w:rPr>
          <w:rFonts w:ascii="Arial" w:eastAsia="Arial" w:hAnsi="Arial" w:cs="Arial"/>
          <w:color w:val="000000"/>
          <w:sz w:val="24"/>
          <w:szCs w:val="24"/>
        </w:rPr>
        <w:t xml:space="preserve">. Foi o que se decidiu no AgInt no AREsp 2.085.003/SP, em que o Tribunal de origem entendera que o reajuste “não poderia ser baseado apenas nas taxas de sinistralidade, devendo ser limitado aos índices anuais da ANS, pois configurada a natureza individual do convênio”, e o Superior Tribunal de Justiça manteve a conclusão. Assim, demonstrada a natureza do contrato (e ela decorre de fatos documentais e incontroversos: quatro vidas de um mesmo núcleo familiar, estipulante unipessoal sem empregados e produto denominado pela própria Requerida “Seguro para Pequenos Grupos”), a alegada “livre negociação” e a discussão sobre a sinistralidade do grupo tornam-se irrelevantes para a fixação do índice aplicável.</w:t>
      </w:r>
    </w:p>
    <w:p>
      <w:pPr>
        <w:keepNext/>
        <w:spacing w:before="120" w:after="60" w:line="360" w:lineRule="auto"/>
        <w:jc w:val="left"/>
      </w:pPr>
      <w:r>
        <w:rPr>
          <w:rFonts w:ascii="Arial" w:eastAsia="Arial" w:hAnsi="Arial" w:cs="Arial"/>
          <w:b/>
          <w:color w:val="000000"/>
          <w:sz w:val="24"/>
          <w:szCs w:val="24"/>
        </w:rPr>
        <w:t xml:space="preserve">IV.3. O Tema 1016/STJ derruba a premissa de que só o plano individual se submete a limites</w:t>
      </w:r>
    </w:p>
    <w:p>
      <w:pPr>
        <w:spacing w:before="0" w:after="120" w:line="360" w:lineRule="auto"/>
        <w:ind w:left="0" w:firstLine="1134"/>
        <w:jc w:val="both"/>
      </w:pPr>
      <w:r>
        <w:rPr>
          <w:rFonts w:ascii="Arial" w:eastAsia="Arial" w:hAnsi="Arial" w:cs="Arial"/>
          <w:color w:val="000000"/>
          <w:sz w:val="24"/>
          <w:szCs w:val="24"/>
        </w:rPr>
        <w:t xml:space="preserve">O eixo da defesa é a afirmação de que os critérios do Tema 952/STJ seriam “restritos” aos planos individuais e familiares e de que os coletivos estariam entregues à livre negociação (itens 40 a 46, 61 a 63 e 68). A premissa foi superada pelo próprio Superior Tribunal de Justiça. No </w:t>
      </w:r>
      <w:r>
        <w:rPr>
          <w:rFonts w:ascii="Arial" w:eastAsia="Arial" w:hAnsi="Arial" w:cs="Arial"/>
          <w:b/>
          <w:color w:val="000000"/>
          <w:sz w:val="24"/>
          <w:szCs w:val="24"/>
        </w:rPr>
        <w:t xml:space="preserve">Tema 1016</w:t>
      </w:r>
      <w:r>
        <w:rPr>
          <w:rFonts w:ascii="Arial" w:eastAsia="Arial" w:hAnsi="Arial" w:cs="Arial"/>
          <w:color w:val="000000"/>
          <w:sz w:val="24"/>
          <w:szCs w:val="24"/>
        </w:rPr>
        <w:t xml:space="preserve"> (REsp 1.716.113/DF, Rel. Min. Paulo de Tarso Sanseverino, Segunda Seção, j. 23/03/2022), a Corte firmou a aplicabilidade das teses do Tema 952 </w:t>
      </w:r>
      <w:r>
        <w:rPr>
          <w:rFonts w:ascii="Arial" w:eastAsia="Arial" w:hAnsi="Arial" w:cs="Arial"/>
          <w:b/>
          <w:color w:val="000000"/>
          <w:sz w:val="24"/>
          <w:szCs w:val="24"/>
        </w:rPr>
        <w:t xml:space="preserve">aos planos coletivos</w:t>
      </w:r>
      <w:r>
        <w:rPr>
          <w:rFonts w:ascii="Arial" w:eastAsia="Arial" w:hAnsi="Arial" w:cs="Arial"/>
          <w:color w:val="000000"/>
          <w:sz w:val="24"/>
          <w:szCs w:val="24"/>
        </w:rPr>
        <w:t xml:space="preserve">.</w:t>
      </w:r>
    </w:p>
    <w:p>
      <w:pPr>
        <w:spacing w:before="0" w:after="120" w:line="360" w:lineRule="auto"/>
        <w:ind w:left="0" w:firstLine="1134"/>
        <w:jc w:val="both"/>
      </w:pPr>
      <w:r>
        <w:rPr>
          <w:rFonts w:ascii="Arial" w:eastAsia="Arial" w:hAnsi="Arial" w:cs="Arial"/>
          <w:color w:val="000000"/>
          <w:sz w:val="24"/>
          <w:szCs w:val="24"/>
        </w:rPr>
        <w:t xml:space="preserve">Em consequência, mesmo que o contrato fosse tido por coletivo típico, o reajuste por faixa etária submeter-se-ia aos três requisitos do Tema 952 — entre eles a vedação de percentuais desarrazoados ou aleatórios, sem base atuarial idônea, que onerem excessivamente o consumidor ou discriminem o idoso (item VI desta réplica) —, e </w:t>
      </w:r>
      <w:r>
        <w:rPr>
          <w:rFonts w:ascii="Arial" w:eastAsia="Arial" w:hAnsi="Arial" w:cs="Arial"/>
          <w:b/>
          <w:color w:val="000000"/>
          <w:sz w:val="24"/>
          <w:szCs w:val="24"/>
        </w:rPr>
        <w:t xml:space="preserve">todos</w:t>
      </w:r>
      <w:r>
        <w:rPr>
          <w:rFonts w:ascii="Arial" w:eastAsia="Arial" w:hAnsi="Arial" w:cs="Arial"/>
          <w:color w:val="000000"/>
          <w:sz w:val="24"/>
          <w:szCs w:val="24"/>
        </w:rPr>
        <w:t xml:space="preserve"> os reajustes ficariam sujeitos à comprovação de lastro técnico por parte de quem os impôs (item V). Os acórdãos do TJDFT que a Requerida colaciona (itens 93, 97 e 98) são todos anteriores ao julgamento do Tema 1016 (datam de 2013 a 2019) e, pelas suas próprias ementas, condicionam a licitude do reajuste coletivo à existência de “cálculos atuariais” e de “estudo atuarial prévio”, justamente o que a contestação </w:t>
      </w:r>
      <w:r>
        <w:rPr>
          <w:rFonts w:ascii="Arial" w:eastAsia="Arial" w:hAnsi="Arial" w:cs="Arial"/>
          <w:b/>
          <w:color w:val="000000"/>
          <w:sz w:val="24"/>
          <w:szCs w:val="24"/>
        </w:rPr>
        <w:t xml:space="preserve">não demonstra</w:t>
      </w:r>
      <w:r>
        <w:rPr>
          <w:rFonts w:ascii="Arial" w:eastAsia="Arial" w:hAnsi="Arial" w:cs="Arial"/>
          <w:color w:val="000000"/>
          <w:sz w:val="24"/>
          <w:szCs w:val="24"/>
        </w:rPr>
        <w:t xml:space="preserve">.</w:t>
      </w:r>
    </w:p>
    <w:p>
      <w:pPr>
        <w:keepNext/>
        <w:spacing w:before="240" w:after="120" w:line="360" w:lineRule="auto"/>
        <w:jc w:val="left"/>
      </w:pPr>
      <w:r>
        <w:rPr>
          <w:rFonts w:ascii="Arial" w:eastAsia="Arial" w:hAnsi="Arial" w:cs="Arial"/>
          <w:b/>
          <w:color w:val="000000"/>
          <w:sz w:val="24"/>
          <w:szCs w:val="24"/>
        </w:rPr>
        <w:t xml:space="preserve">V — DOS REAJUSTES ANUAIS: A COMPOSIÇÃO CONFESSADA E A AUSÊNCIA DE LASTRO</w:t>
      </w:r>
    </w:p>
    <w:p>
      <w:pPr>
        <w:spacing w:before="0" w:after="120" w:line="360" w:lineRule="auto"/>
        <w:ind w:left="0" w:firstLine="1134"/>
        <w:jc w:val="both"/>
      </w:pPr>
      <w:r>
        <w:rPr>
          <w:rFonts w:ascii="Arial" w:eastAsia="Arial" w:hAnsi="Arial" w:cs="Arial"/>
          <w:color w:val="000000"/>
          <w:sz w:val="24"/>
          <w:szCs w:val="24"/>
        </w:rPr>
        <w:t xml:space="preserve">Reconhecido o falso coletivo (itens III e IV), o confronto entre os percentuais aplicados e os índices da ANS para planos individuais e familiares basta ao acolhimento do pedido, e a discussão sobre o lastro dos percentuais é </w:t>
      </w:r>
      <w:r>
        <w:rPr>
          <w:rFonts w:ascii="Arial" w:eastAsia="Arial" w:hAnsi="Arial" w:cs="Arial"/>
          <w:b/>
          <w:color w:val="000000"/>
          <w:sz w:val="24"/>
          <w:szCs w:val="24"/>
        </w:rPr>
        <w:t xml:space="preserve">subsidiária</w:t>
      </w:r>
      <w:r>
        <w:rPr>
          <w:rFonts w:ascii="Arial" w:eastAsia="Arial" w:hAnsi="Arial" w:cs="Arial"/>
          <w:color w:val="000000"/>
          <w:sz w:val="24"/>
          <w:szCs w:val="24"/>
        </w:rPr>
        <w:t xml:space="preserve">. Ainda assim, mesmo que se adotasse a premissa da Requerida, de que o contrato seria coletivo típico, a contestação não se desincumbe do ônus que ela própria assume, como se demonstra a seguir.</w:t>
      </w:r>
    </w:p>
    <w:p>
      <w:pPr>
        <w:spacing w:before="0" w:after="120" w:line="360" w:lineRule="auto"/>
        <w:ind w:left="0" w:firstLine="1134"/>
        <w:jc w:val="both"/>
      </w:pPr>
      <w:r>
        <w:rPr>
          <w:rFonts w:ascii="Arial" w:eastAsia="Arial" w:hAnsi="Arial" w:cs="Arial"/>
          <w:color w:val="000000"/>
          <w:sz w:val="24"/>
          <w:szCs w:val="24"/>
        </w:rPr>
        <w:t xml:space="preserve">O item 49 da contestação decompõe os reajustes anuais. Reproduz-se a composição informada pela Requerida, cotejada com o índice setorial adotado no recálculo (Quadro Demonstrativo, Id. 289019381):</w:t>
      </w:r>
    </w:p>
    <w:tbl>
      <w:tblPr>
        <w:tblW w:w="8350" w:type="dxa"/>
        <w:jc w:val="center"/>
        <w:tblBorders>
          <w:top w:val="single" w:sz="4" w:space="0" w:color="5C4033"/>
          <w:left w:val="single" w:sz="4" w:space="0" w:color="5C4033"/>
          <w:bottom w:val="single" w:sz="4" w:space="0" w:color="5C4033"/>
          <w:right w:val="single" w:sz="4" w:space="0" w:color="5C4033"/>
          <w:insideH w:val="single" w:sz="4" w:space="0" w:color="5C4033"/>
          <w:insideV w:val="single" w:sz="4" w:space="0" w:color="5C4033"/>
        </w:tblBorders>
        <w:tblLayout w:type="fixed"/>
        <w:tblCellMar>
          <w:top w:w="50" w:type="dxa"/>
          <w:left w:w="80" w:type="dxa"/>
          <w:bottom w:w="50" w:type="dxa"/>
          <w:right w:w="80" w:type="dxa"/>
        </w:tblCellMar>
      </w:tblPr>
      <w:tblGrid>
        <w:gridCol w:w="1250"/>
        <w:gridCol w:w="1850"/>
        <w:gridCol w:w="2000"/>
        <w:gridCol w:w="1500"/>
        <w:gridCol w:w="1750"/>
      </w:tblGrid>
      <w:tr>
        <w:trPr>
          <w:cantSplit/>
          <w:tblHeader/>
        </w:trPr>
        <w:tc>
          <w:tcPr>
            <w:tcW w:w="1250" w:type="dxa"/>
            <w:shd w:val="clear" w:color="auto" w:fill="D4B896"/>
            <w:vAlign w:val="center"/>
          </w:tcPr>
          <w:p>
            <w:pPr>
              <w:spacing w:before="0" w:after="0" w:line="240" w:lineRule="auto"/>
              <w:jc w:val="center"/>
            </w:pPr>
            <w:r>
              <w:rPr>
                <w:rFonts w:ascii="Arial" w:eastAsia="Arial" w:hAnsi="Arial" w:cs="Arial"/>
                <w:b/>
                <w:color w:val="000000"/>
                <w:sz w:val="19"/>
                <w:szCs w:val="19"/>
              </w:rPr>
              <w:t xml:space="preserve">Data-base</w:t>
            </w:r>
          </w:p>
        </w:tc>
        <w:tc>
          <w:tcPr>
            <w:tcW w:w="1850" w:type="dxa"/>
            <w:shd w:val="clear" w:color="auto" w:fill="D4B896"/>
            <w:vAlign w:val="center"/>
          </w:tcPr>
          <w:p>
            <w:pPr>
              <w:spacing w:before="0" w:after="0" w:line="240" w:lineRule="auto"/>
              <w:jc w:val="center"/>
            </w:pPr>
            <w:r>
              <w:rPr>
                <w:rFonts w:ascii="Arial" w:eastAsia="Arial" w:hAnsi="Arial" w:cs="Arial"/>
                <w:b/>
                <w:color w:val="000000"/>
                <w:sz w:val="19"/>
                <w:szCs w:val="19"/>
              </w:rPr>
              <w:t xml:space="preserve">VCMH informado pela Requerida</w:t>
            </w:r>
          </w:p>
        </w:tc>
        <w:tc>
          <w:tcPr>
            <w:tcW w:w="2000" w:type="dxa"/>
            <w:shd w:val="clear" w:color="auto" w:fill="D4B896"/>
            <w:vAlign w:val="center"/>
          </w:tcPr>
          <w:p>
            <w:pPr>
              <w:spacing w:before="0" w:after="0" w:line="240" w:lineRule="auto"/>
              <w:jc w:val="center"/>
            </w:pPr>
            <w:r>
              <w:rPr>
                <w:rFonts w:ascii="Arial" w:eastAsia="Arial" w:hAnsi="Arial" w:cs="Arial"/>
                <w:b/>
                <w:color w:val="000000"/>
                <w:sz w:val="19"/>
                <w:szCs w:val="19"/>
              </w:rPr>
              <w:t xml:space="preserve">Sinistralidade informada pela Requerida</w:t>
            </w:r>
          </w:p>
        </w:tc>
        <w:tc>
          <w:tcPr>
            <w:tcW w:w="1500" w:type="dxa"/>
            <w:shd w:val="clear" w:color="auto" w:fill="D4B896"/>
            <w:vAlign w:val="center"/>
          </w:tcPr>
          <w:p>
            <w:pPr>
              <w:spacing w:before="0" w:after="0" w:line="240" w:lineRule="auto"/>
              <w:jc w:val="center"/>
            </w:pPr>
            <w:r>
              <w:rPr>
                <w:rFonts w:ascii="Arial" w:eastAsia="Arial" w:hAnsi="Arial" w:cs="Arial"/>
                <w:b/>
                <w:color w:val="000000"/>
                <w:sz w:val="19"/>
                <w:szCs w:val="19"/>
              </w:rPr>
              <w:t xml:space="preserve">Reajuste aplicado</w:t>
            </w:r>
          </w:p>
        </w:tc>
        <w:tc>
          <w:tcPr>
            <w:tcW w:w="1750" w:type="dxa"/>
            <w:shd w:val="clear" w:color="auto" w:fill="D4B896"/>
            <w:vAlign w:val="center"/>
          </w:tcPr>
          <w:p>
            <w:pPr>
              <w:spacing w:before="0" w:after="0" w:line="240" w:lineRule="auto"/>
              <w:jc w:val="center"/>
            </w:pPr>
            <w:r>
              <w:rPr>
                <w:rFonts w:ascii="Arial" w:eastAsia="Arial" w:hAnsi="Arial" w:cs="Arial"/>
                <w:b/>
                <w:color w:val="000000"/>
                <w:sz w:val="19"/>
                <w:szCs w:val="19"/>
              </w:rPr>
              <w:t xml:space="preserve">Índice ANS (planos individuais)</w:t>
            </w:r>
          </w:p>
        </w:tc>
      </w:tr>
      <w:tr>
        <w:trPr>
          <w:cantSplit/>
        </w:trPr>
        <w:tc>
          <w:tcPr>
            <w:tcW w:w="1250" w:type="dxa"/>
            <w:vAlign w:val="center"/>
          </w:tcPr>
          <w:p>
            <w:pPr>
              <w:spacing w:before="0" w:after="0" w:line="240" w:lineRule="auto"/>
              <w:jc w:val="center"/>
            </w:pPr>
            <w:r>
              <w:rPr>
                <w:rFonts w:ascii="Arial" w:eastAsia="Arial" w:hAnsi="Arial" w:cs="Arial"/>
                <w:color w:val="000000"/>
                <w:sz w:val="19"/>
                <w:szCs w:val="19"/>
              </w:rPr>
              <w:t xml:space="preserve">Nov/2021</w:t>
            </w:r>
          </w:p>
        </w:tc>
        <w:tc>
          <w:tcPr>
            <w:tcW w:w="1850" w:type="dxa"/>
            <w:vAlign w:val="center"/>
          </w:tcPr>
          <w:p>
            <w:pPr>
              <w:spacing w:before="0" w:after="0" w:line="240" w:lineRule="auto"/>
              <w:jc w:val="center"/>
            </w:pPr>
            <w:r>
              <w:rPr>
                <w:rFonts w:ascii="Arial" w:eastAsia="Arial" w:hAnsi="Arial" w:cs="Arial"/>
                <w:color w:val="000000"/>
                <w:sz w:val="19"/>
                <w:szCs w:val="19"/>
              </w:rPr>
              <w:t xml:space="preserve">−2,42%</w:t>
            </w:r>
          </w:p>
        </w:tc>
        <w:tc>
          <w:tcPr>
            <w:tcW w:w="2000" w:type="dxa"/>
            <w:vAlign w:val="center"/>
          </w:tcPr>
          <w:p>
            <w:pPr>
              <w:spacing w:before="0" w:after="0" w:line="240" w:lineRule="auto"/>
              <w:jc w:val="center"/>
            </w:pPr>
            <w:r>
              <w:rPr>
                <w:rFonts w:ascii="Arial" w:eastAsia="Arial" w:hAnsi="Arial" w:cs="Arial"/>
                <w:color w:val="000000"/>
                <w:sz w:val="19"/>
                <w:szCs w:val="19"/>
              </w:rPr>
              <w:t xml:space="preserve">11,72%</w:t>
            </w:r>
          </w:p>
        </w:tc>
        <w:tc>
          <w:tcPr>
            <w:tcW w:w="1500" w:type="dxa"/>
            <w:vAlign w:val="center"/>
          </w:tcPr>
          <w:p>
            <w:pPr>
              <w:spacing w:before="0" w:after="0" w:line="240" w:lineRule="auto"/>
              <w:jc w:val="center"/>
            </w:pPr>
            <w:r>
              <w:rPr>
                <w:rFonts w:ascii="Arial" w:eastAsia="Arial" w:hAnsi="Arial" w:cs="Arial"/>
                <w:color w:val="000000"/>
                <w:sz w:val="19"/>
                <w:szCs w:val="19"/>
              </w:rPr>
              <w:t xml:space="preserve">9,02%</w:t>
            </w:r>
          </w:p>
        </w:tc>
        <w:tc>
          <w:tcPr>
            <w:tcW w:w="1750" w:type="dxa"/>
            <w:vAlign w:val="center"/>
          </w:tcPr>
          <w:p>
            <w:pPr>
              <w:spacing w:before="0" w:after="0" w:line="240" w:lineRule="auto"/>
              <w:jc w:val="center"/>
            </w:pPr>
            <w:r>
              <w:rPr>
                <w:rFonts w:ascii="Arial" w:eastAsia="Arial" w:hAnsi="Arial" w:cs="Arial"/>
                <w:color w:val="000000"/>
                <w:sz w:val="19"/>
                <w:szCs w:val="19"/>
              </w:rPr>
              <w:t xml:space="preserve">−8,19%</w:t>
            </w:r>
          </w:p>
        </w:tc>
      </w:tr>
      <w:tr>
        <w:trPr>
          <w:cantSplit/>
        </w:trPr>
        <w:tc>
          <w:tcPr>
            <w:tcW w:w="1250" w:type="dxa"/>
            <w:vAlign w:val="center"/>
          </w:tcPr>
          <w:p>
            <w:pPr>
              <w:spacing w:before="0" w:after="0" w:line="240" w:lineRule="auto"/>
              <w:jc w:val="center"/>
            </w:pPr>
            <w:r>
              <w:rPr>
                <w:rFonts w:ascii="Arial" w:eastAsia="Arial" w:hAnsi="Arial" w:cs="Arial"/>
                <w:color w:val="000000"/>
                <w:sz w:val="19"/>
                <w:szCs w:val="19"/>
              </w:rPr>
              <w:t xml:space="preserve">Nov/2022</w:t>
            </w:r>
          </w:p>
        </w:tc>
        <w:tc>
          <w:tcPr>
            <w:tcW w:w="1850" w:type="dxa"/>
            <w:vAlign w:val="center"/>
          </w:tcPr>
          <w:p>
            <w:pPr>
              <w:spacing w:before="0" w:after="0" w:line="240" w:lineRule="auto"/>
              <w:jc w:val="center"/>
            </w:pPr>
            <w:r>
              <w:rPr>
                <w:rFonts w:ascii="Arial" w:eastAsia="Arial" w:hAnsi="Arial" w:cs="Arial"/>
                <w:color w:val="000000"/>
                <w:sz w:val="19"/>
                <w:szCs w:val="19"/>
              </w:rPr>
              <w:t xml:space="preserve">4,99%</w:t>
            </w:r>
          </w:p>
        </w:tc>
        <w:tc>
          <w:tcPr>
            <w:tcW w:w="2000" w:type="dxa"/>
            <w:vAlign w:val="center"/>
          </w:tcPr>
          <w:p>
            <w:pPr>
              <w:spacing w:before="0" w:after="0" w:line="240" w:lineRule="auto"/>
              <w:jc w:val="center"/>
            </w:pPr>
            <w:r>
              <w:rPr>
                <w:rFonts w:ascii="Arial" w:eastAsia="Arial" w:hAnsi="Arial" w:cs="Arial"/>
                <w:color w:val="000000"/>
                <w:sz w:val="19"/>
                <w:szCs w:val="19"/>
              </w:rPr>
              <w:t xml:space="preserve">13,59%</w:t>
            </w:r>
          </w:p>
        </w:tc>
        <w:tc>
          <w:tcPr>
            <w:tcW w:w="1500" w:type="dxa"/>
            <w:vAlign w:val="center"/>
          </w:tcPr>
          <w:p>
            <w:pPr>
              <w:spacing w:before="0" w:after="0" w:line="240" w:lineRule="auto"/>
              <w:jc w:val="center"/>
            </w:pPr>
            <w:r>
              <w:rPr>
                <w:rFonts w:ascii="Arial" w:eastAsia="Arial" w:hAnsi="Arial" w:cs="Arial"/>
                <w:color w:val="000000"/>
                <w:sz w:val="19"/>
                <w:szCs w:val="19"/>
              </w:rPr>
              <w:t xml:space="preserve">19,25%</w:t>
            </w:r>
          </w:p>
        </w:tc>
        <w:tc>
          <w:tcPr>
            <w:tcW w:w="1750" w:type="dxa"/>
            <w:vAlign w:val="center"/>
          </w:tcPr>
          <w:p>
            <w:pPr>
              <w:spacing w:before="0" w:after="0" w:line="240" w:lineRule="auto"/>
              <w:jc w:val="center"/>
            </w:pPr>
            <w:r>
              <w:rPr>
                <w:rFonts w:ascii="Arial" w:eastAsia="Arial" w:hAnsi="Arial" w:cs="Arial"/>
                <w:color w:val="000000"/>
                <w:sz w:val="19"/>
                <w:szCs w:val="19"/>
              </w:rPr>
              <w:t xml:space="preserve">15,50%</w:t>
            </w:r>
          </w:p>
        </w:tc>
      </w:tr>
      <w:tr>
        <w:trPr>
          <w:cantSplit/>
        </w:trPr>
        <w:tc>
          <w:tcPr>
            <w:tcW w:w="1250" w:type="dxa"/>
            <w:vAlign w:val="center"/>
          </w:tcPr>
          <w:p>
            <w:pPr>
              <w:spacing w:before="0" w:after="0" w:line="240" w:lineRule="auto"/>
              <w:jc w:val="center"/>
            </w:pPr>
            <w:r>
              <w:rPr>
                <w:rFonts w:ascii="Arial" w:eastAsia="Arial" w:hAnsi="Arial" w:cs="Arial"/>
                <w:color w:val="000000"/>
                <w:sz w:val="19"/>
                <w:szCs w:val="19"/>
              </w:rPr>
              <w:t xml:space="preserve">Nov/2023</w:t>
            </w:r>
          </w:p>
        </w:tc>
        <w:tc>
          <w:tcPr>
            <w:tcW w:w="1850" w:type="dxa"/>
            <w:vAlign w:val="center"/>
          </w:tcPr>
          <w:p>
            <w:pPr>
              <w:spacing w:before="0" w:after="0" w:line="240" w:lineRule="auto"/>
              <w:jc w:val="center"/>
            </w:pPr>
            <w:r>
              <w:rPr>
                <w:rFonts w:ascii="Arial" w:eastAsia="Arial" w:hAnsi="Arial" w:cs="Arial"/>
                <w:color w:val="000000"/>
                <w:sz w:val="19"/>
                <w:szCs w:val="19"/>
              </w:rPr>
              <w:t xml:space="preserve">3,98%</w:t>
            </w:r>
          </w:p>
        </w:tc>
        <w:tc>
          <w:tcPr>
            <w:tcW w:w="2000" w:type="dxa"/>
            <w:vAlign w:val="center"/>
          </w:tcPr>
          <w:p>
            <w:pPr>
              <w:spacing w:before="0" w:after="0" w:line="240" w:lineRule="auto"/>
              <w:jc w:val="center"/>
            </w:pPr>
            <w:r>
              <w:rPr>
                <w:rFonts w:ascii="Arial" w:eastAsia="Arial" w:hAnsi="Arial" w:cs="Arial"/>
                <w:color w:val="000000"/>
                <w:sz w:val="19"/>
                <w:szCs w:val="19"/>
              </w:rPr>
              <w:t xml:space="preserve">19,05%</w:t>
            </w:r>
          </w:p>
        </w:tc>
        <w:tc>
          <w:tcPr>
            <w:tcW w:w="1500" w:type="dxa"/>
            <w:vAlign w:val="center"/>
          </w:tcPr>
          <w:p>
            <w:pPr>
              <w:spacing w:before="0" w:after="0" w:line="240" w:lineRule="auto"/>
              <w:jc w:val="center"/>
            </w:pPr>
            <w:r>
              <w:rPr>
                <w:rFonts w:ascii="Arial" w:eastAsia="Arial" w:hAnsi="Arial" w:cs="Arial"/>
                <w:color w:val="000000"/>
                <w:sz w:val="19"/>
                <w:szCs w:val="19"/>
              </w:rPr>
              <w:t xml:space="preserve">23,79%</w:t>
            </w:r>
          </w:p>
        </w:tc>
        <w:tc>
          <w:tcPr>
            <w:tcW w:w="1750" w:type="dxa"/>
            <w:vAlign w:val="center"/>
          </w:tcPr>
          <w:p>
            <w:pPr>
              <w:spacing w:before="0" w:after="0" w:line="240" w:lineRule="auto"/>
              <w:jc w:val="center"/>
            </w:pPr>
            <w:r>
              <w:rPr>
                <w:rFonts w:ascii="Arial" w:eastAsia="Arial" w:hAnsi="Arial" w:cs="Arial"/>
                <w:color w:val="000000"/>
                <w:sz w:val="19"/>
                <w:szCs w:val="19"/>
              </w:rPr>
              <w:t xml:space="preserve">9,63%</w:t>
            </w:r>
          </w:p>
        </w:tc>
      </w:tr>
      <w:tr>
        <w:trPr>
          <w:cantSplit/>
        </w:trPr>
        <w:tc>
          <w:tcPr>
            <w:tcW w:w="1250" w:type="dxa"/>
            <w:vAlign w:val="center"/>
          </w:tcPr>
          <w:p>
            <w:pPr>
              <w:spacing w:before="0" w:after="0" w:line="240" w:lineRule="auto"/>
              <w:jc w:val="center"/>
            </w:pPr>
            <w:r>
              <w:rPr>
                <w:rFonts w:ascii="Arial" w:eastAsia="Arial" w:hAnsi="Arial" w:cs="Arial"/>
                <w:color w:val="000000"/>
                <w:sz w:val="19"/>
                <w:szCs w:val="19"/>
              </w:rPr>
              <w:t xml:space="preserve">Nov/2024</w:t>
            </w:r>
          </w:p>
        </w:tc>
        <w:tc>
          <w:tcPr>
            <w:tcW w:w="1850" w:type="dxa"/>
            <w:vAlign w:val="center"/>
          </w:tcPr>
          <w:p>
            <w:pPr>
              <w:spacing w:before="0" w:after="0" w:line="240" w:lineRule="auto"/>
              <w:jc w:val="center"/>
            </w:pPr>
            <w:r>
              <w:rPr>
                <w:rFonts w:ascii="Arial" w:eastAsia="Arial" w:hAnsi="Arial" w:cs="Arial"/>
                <w:color w:val="000000"/>
                <w:sz w:val="19"/>
                <w:szCs w:val="19"/>
              </w:rPr>
              <w:t xml:space="preserve">5,28%</w:t>
            </w:r>
          </w:p>
        </w:tc>
        <w:tc>
          <w:tcPr>
            <w:tcW w:w="2000" w:type="dxa"/>
            <w:vAlign w:val="center"/>
          </w:tcPr>
          <w:p>
            <w:pPr>
              <w:spacing w:before="0" w:after="0" w:line="240" w:lineRule="auto"/>
              <w:jc w:val="center"/>
            </w:pPr>
            <w:r>
              <w:rPr>
                <w:rFonts w:ascii="Arial" w:eastAsia="Arial" w:hAnsi="Arial" w:cs="Arial"/>
                <w:color w:val="000000"/>
                <w:sz w:val="19"/>
                <w:szCs w:val="19"/>
              </w:rPr>
              <w:t xml:space="preserve">14,90%</w:t>
            </w:r>
          </w:p>
        </w:tc>
        <w:tc>
          <w:tcPr>
            <w:tcW w:w="1500" w:type="dxa"/>
            <w:vAlign w:val="center"/>
          </w:tcPr>
          <w:p>
            <w:pPr>
              <w:spacing w:before="0" w:after="0" w:line="240" w:lineRule="auto"/>
              <w:jc w:val="center"/>
            </w:pPr>
            <w:r>
              <w:rPr>
                <w:rFonts w:ascii="Arial" w:eastAsia="Arial" w:hAnsi="Arial" w:cs="Arial"/>
                <w:color w:val="000000"/>
                <w:sz w:val="19"/>
                <w:szCs w:val="19"/>
              </w:rPr>
              <w:t xml:space="preserve">20,96%</w:t>
            </w:r>
          </w:p>
        </w:tc>
        <w:tc>
          <w:tcPr>
            <w:tcW w:w="1750" w:type="dxa"/>
            <w:vAlign w:val="center"/>
          </w:tcPr>
          <w:p>
            <w:pPr>
              <w:spacing w:before="0" w:after="0" w:line="240" w:lineRule="auto"/>
              <w:jc w:val="center"/>
            </w:pPr>
            <w:r>
              <w:rPr>
                <w:rFonts w:ascii="Arial" w:eastAsia="Arial" w:hAnsi="Arial" w:cs="Arial"/>
                <w:color w:val="000000"/>
                <w:sz w:val="19"/>
                <w:szCs w:val="19"/>
              </w:rPr>
              <w:t xml:space="preserve">6,91%</w:t>
            </w:r>
          </w:p>
        </w:tc>
      </w:tr>
      <w:tr>
        <w:trPr>
          <w:cantSplit/>
        </w:trPr>
        <w:tc>
          <w:tcPr>
            <w:tcW w:w="1250" w:type="dxa"/>
            <w:vAlign w:val="center"/>
          </w:tcPr>
          <w:p>
            <w:pPr>
              <w:spacing w:before="0" w:after="0" w:line="240" w:lineRule="auto"/>
              <w:jc w:val="center"/>
            </w:pPr>
            <w:r>
              <w:rPr>
                <w:rFonts w:ascii="Arial" w:eastAsia="Arial" w:hAnsi="Arial" w:cs="Arial"/>
                <w:color w:val="000000"/>
                <w:sz w:val="19"/>
                <w:szCs w:val="19"/>
              </w:rPr>
              <w:t xml:space="preserve">Nov/2025</w:t>
            </w:r>
          </w:p>
        </w:tc>
        <w:tc>
          <w:tcPr>
            <w:tcW w:w="1850" w:type="dxa"/>
            <w:vAlign w:val="center"/>
          </w:tcPr>
          <w:p>
            <w:pPr>
              <w:spacing w:before="0" w:after="0" w:line="240" w:lineRule="auto"/>
              <w:jc w:val="center"/>
            </w:pPr>
            <w:r>
              <w:rPr>
                <w:rFonts w:ascii="Arial" w:eastAsia="Arial" w:hAnsi="Arial" w:cs="Arial"/>
                <w:color w:val="000000"/>
                <w:sz w:val="19"/>
                <w:szCs w:val="19"/>
              </w:rPr>
              <w:t xml:space="preserve">não aplicado</w:t>
            </w:r>
          </w:p>
        </w:tc>
        <w:tc>
          <w:tcPr>
            <w:tcW w:w="2000" w:type="dxa"/>
            <w:vAlign w:val="center"/>
          </w:tcPr>
          <w:p>
            <w:pPr>
              <w:spacing w:before="0" w:after="0" w:line="240" w:lineRule="auto"/>
              <w:jc w:val="center"/>
            </w:pPr>
            <w:r>
              <w:rPr>
                <w:rFonts w:ascii="Arial" w:eastAsia="Arial" w:hAnsi="Arial" w:cs="Arial"/>
                <w:color w:val="000000"/>
                <w:sz w:val="19"/>
                <w:szCs w:val="19"/>
              </w:rPr>
              <w:t xml:space="preserve">15,11%</w:t>
            </w:r>
          </w:p>
        </w:tc>
        <w:tc>
          <w:tcPr>
            <w:tcW w:w="1500" w:type="dxa"/>
            <w:vAlign w:val="center"/>
          </w:tcPr>
          <w:p>
            <w:pPr>
              <w:spacing w:before="0" w:after="0" w:line="240" w:lineRule="auto"/>
              <w:jc w:val="center"/>
            </w:pPr>
            <w:r>
              <w:rPr>
                <w:rFonts w:ascii="Arial" w:eastAsia="Arial" w:hAnsi="Arial" w:cs="Arial"/>
                <w:color w:val="000000"/>
                <w:sz w:val="19"/>
                <w:szCs w:val="19"/>
              </w:rPr>
              <w:t xml:space="preserve">15,11%</w:t>
            </w:r>
          </w:p>
        </w:tc>
        <w:tc>
          <w:tcPr>
            <w:tcW w:w="1750" w:type="dxa"/>
            <w:vAlign w:val="center"/>
          </w:tcPr>
          <w:p>
            <w:pPr>
              <w:spacing w:before="0" w:after="0" w:line="240" w:lineRule="auto"/>
              <w:jc w:val="center"/>
            </w:pPr>
            <w:r>
              <w:rPr>
                <w:rFonts w:ascii="Arial" w:eastAsia="Arial" w:hAnsi="Arial" w:cs="Arial"/>
                <w:color w:val="000000"/>
                <w:sz w:val="19"/>
                <w:szCs w:val="19"/>
              </w:rPr>
              <w:t xml:space="preserve">6,06%</w:t>
            </w:r>
          </w:p>
        </w:tc>
      </w:tr>
    </w:tbl>
    <w:p>
      <w:pPr>
        <w:spacing w:before="0" w:after="0" w:line="240" w:lineRule="auto"/>
        <w:jc w:val="both"/>
      </w:pPr>
    </w:p>
    <w:p>
      <w:pPr>
        <w:spacing w:before="0" w:after="120" w:line="360" w:lineRule="auto"/>
        <w:ind w:left="0" w:firstLine="1134"/>
        <w:jc w:val="both"/>
      </w:pPr>
      <w:r>
        <w:rPr>
          <w:rFonts w:ascii="Arial" w:eastAsia="Arial" w:hAnsi="Arial" w:cs="Arial"/>
          <w:color w:val="000000"/>
          <w:sz w:val="24"/>
          <w:szCs w:val="24"/>
        </w:rPr>
        <w:t xml:space="preserve">A tabela revela, por si só, quatro circunstâncias relevantes.</w:t>
      </w:r>
    </w:p>
    <w:p>
      <w:pPr>
        <w:spacing w:before="0" w:after="120" w:line="360" w:lineRule="auto"/>
        <w:ind w:left="0" w:firstLine="1134"/>
        <w:jc w:val="both"/>
      </w:pPr>
      <w:r>
        <w:rPr>
          <w:rFonts w:ascii="Arial" w:eastAsia="Arial" w:hAnsi="Arial" w:cs="Arial"/>
          <w:b/>
          <w:color w:val="000000"/>
          <w:sz w:val="24"/>
          <w:szCs w:val="24"/>
        </w:rPr>
        <w:t xml:space="preserve">Primeira:</w:t>
      </w:r>
      <w:r>
        <w:rPr>
          <w:rFonts w:ascii="Arial" w:eastAsia="Arial" w:hAnsi="Arial" w:cs="Arial"/>
          <w:color w:val="000000"/>
          <w:sz w:val="24"/>
          <w:szCs w:val="24"/>
        </w:rPr>
        <w:t xml:space="preserve"> em nenhum ciclo a variação de custos médico-hospitalares informada pela Requerida explica o reajuste aplicado. Em novembro de 2021, a própria Requerida informa </w:t>
      </w:r>
      <w:r>
        <w:rPr>
          <w:rFonts w:ascii="Arial" w:eastAsia="Arial" w:hAnsi="Arial" w:cs="Arial"/>
          <w:b/>
          <w:color w:val="000000"/>
          <w:sz w:val="24"/>
          <w:szCs w:val="24"/>
        </w:rPr>
        <w:t xml:space="preserve">VCMH negativo (−2,42%)</w:t>
      </w:r>
      <w:r>
        <w:rPr>
          <w:rFonts w:ascii="Arial" w:eastAsia="Arial" w:hAnsi="Arial" w:cs="Arial"/>
          <w:color w:val="000000"/>
          <w:sz w:val="24"/>
          <w:szCs w:val="24"/>
        </w:rPr>
        <w:t xml:space="preserve"> e, ainda assim, reajusta o contrato em 9,02%. Em todos os ciclos o grosso do aumento deriva do componente “sinistralidade”, e em 2025 ele é o único, sem qualquer VCMH.</w:t>
      </w:r>
    </w:p>
    <w:p>
      <w:pPr>
        <w:spacing w:before="0" w:after="120" w:line="360" w:lineRule="auto"/>
        <w:ind w:left="0" w:firstLine="1134"/>
        <w:jc w:val="both"/>
      </w:pPr>
      <w:r>
        <w:rPr>
          <w:rFonts w:ascii="Arial" w:eastAsia="Arial" w:hAnsi="Arial" w:cs="Arial"/>
          <w:b/>
          <w:color w:val="000000"/>
          <w:sz w:val="24"/>
          <w:szCs w:val="24"/>
        </w:rPr>
        <w:t xml:space="preserve">Segunda:</w:t>
      </w:r>
      <w:r>
        <w:rPr>
          <w:rFonts w:ascii="Arial" w:eastAsia="Arial" w:hAnsi="Arial" w:cs="Arial"/>
          <w:color w:val="000000"/>
          <w:sz w:val="24"/>
          <w:szCs w:val="24"/>
        </w:rPr>
        <w:t xml:space="preserve"> a contestação explica a </w:t>
      </w:r>
      <w:r>
        <w:rPr>
          <w:rFonts w:ascii="Arial" w:eastAsia="Arial" w:hAnsi="Arial" w:cs="Arial"/>
          <w:i/>
          <w:color w:val="000000"/>
          <w:sz w:val="24"/>
          <w:szCs w:val="24"/>
        </w:rPr>
        <w:t xml:space="preserve">aritmética</w:t>
      </w:r>
      <w:r>
        <w:rPr>
          <w:rFonts w:ascii="Arial" w:eastAsia="Arial" w:hAnsi="Arial" w:cs="Arial"/>
          <w:color w:val="000000"/>
          <w:sz w:val="24"/>
          <w:szCs w:val="24"/>
        </w:rPr>
        <w:t xml:space="preserve"> da composição (multiplicação e não soma dos fatores), mas não a </w:t>
      </w:r>
      <w:r>
        <w:rPr>
          <w:rFonts w:ascii="Arial" w:eastAsia="Arial" w:hAnsi="Arial" w:cs="Arial"/>
          <w:i/>
          <w:color w:val="000000"/>
          <w:sz w:val="24"/>
          <w:szCs w:val="24"/>
        </w:rPr>
        <w:t xml:space="preserve">origem</w:t>
      </w:r>
      <w:r>
        <w:rPr>
          <w:rFonts w:ascii="Arial" w:eastAsia="Arial" w:hAnsi="Arial" w:cs="Arial"/>
          <w:color w:val="000000"/>
          <w:sz w:val="24"/>
          <w:szCs w:val="24"/>
        </w:rPr>
        <w:t xml:space="preserve"> do componente que a sustenta. Não há, na peça, a apuração da sinistralidade (despesas assistenciais e receitas diretas de cada período de doze meses anteriores à data-base), nem o número de vidas, nem a razão pela qual a sinistralidade de </w:t>
      </w:r>
      <w:r>
        <w:rPr>
          <w:rFonts w:ascii="Arial" w:eastAsia="Arial" w:hAnsi="Arial" w:cs="Arial"/>
          <w:b/>
          <w:color w:val="000000"/>
          <w:sz w:val="24"/>
          <w:szCs w:val="24"/>
        </w:rPr>
        <w:t xml:space="preserve">quatro pessoas de uma mesma família</w:t>
      </w:r>
      <w:r>
        <w:rPr>
          <w:rFonts w:ascii="Arial" w:eastAsia="Arial" w:hAnsi="Arial" w:cs="Arial"/>
          <w:color w:val="000000"/>
          <w:sz w:val="24"/>
          <w:szCs w:val="24"/>
        </w:rPr>
        <w:t xml:space="preserve"> — universo em que um único evento custoso desequilibra a conta — deveria ser repassada com tamanha intensidade, em vez de diluída em pool, como exige a RN ANS nº 565/2022.</w:t>
      </w:r>
    </w:p>
    <w:p>
      <w:pPr>
        <w:spacing w:before="0" w:after="120" w:line="360" w:lineRule="auto"/>
        <w:ind w:left="0" w:firstLine="1134"/>
        <w:jc w:val="both"/>
      </w:pPr>
      <w:r>
        <w:rPr>
          <w:rFonts w:ascii="Arial" w:eastAsia="Arial" w:hAnsi="Arial" w:cs="Arial"/>
          <w:b/>
          <w:color w:val="000000"/>
          <w:sz w:val="24"/>
          <w:szCs w:val="24"/>
        </w:rPr>
        <w:t xml:space="preserve">Terceira:</w:t>
      </w:r>
      <w:r>
        <w:rPr>
          <w:rFonts w:ascii="Arial" w:eastAsia="Arial" w:hAnsi="Arial" w:cs="Arial"/>
          <w:color w:val="000000"/>
          <w:sz w:val="24"/>
          <w:szCs w:val="24"/>
        </w:rPr>
        <w:t xml:space="preserve"> a Requerida contradiz-se quanto ao papel da ANS. Ora afirma que, nos planos coletivos, a ANS “limita-se a monitorar” e que não há aprovação de índices (itens 40 a 44); ora sustenta que os percentuais são “rigorosamente controlados” (item 92), “autorizados pelo órgão regulador” e “dentro dos parâmetros estabelecidos pela ANS” (item 95). Os protocolos de que trata o item 50 referem-se, segundo a própria contestação, à </w:t>
      </w:r>
      <w:r>
        <w:rPr>
          <w:rFonts w:ascii="Arial" w:eastAsia="Arial" w:hAnsi="Arial" w:cs="Arial"/>
          <w:b/>
          <w:color w:val="000000"/>
          <w:sz w:val="24"/>
          <w:szCs w:val="24"/>
        </w:rPr>
        <w:t xml:space="preserve">comunicação</w:t>
      </w:r>
      <w:r>
        <w:rPr>
          <w:rFonts w:ascii="Arial" w:eastAsia="Arial" w:hAnsi="Arial" w:cs="Arial"/>
          <w:color w:val="000000"/>
          <w:sz w:val="24"/>
          <w:szCs w:val="24"/>
        </w:rPr>
        <w:t xml:space="preserve"> dos reajustes à Agência, o que não significa que o percentual tenha sido validado nem que haja lastro técnico para ele. Comunicar um reajuste não é demonstrá-lo.</w:t>
      </w:r>
    </w:p>
    <w:p>
      <w:pPr>
        <w:spacing w:before="0" w:after="120" w:line="360" w:lineRule="auto"/>
        <w:ind w:left="0" w:firstLine="1134"/>
        <w:jc w:val="both"/>
      </w:pPr>
      <w:r>
        <w:rPr>
          <w:rFonts w:ascii="Arial" w:eastAsia="Arial" w:hAnsi="Arial" w:cs="Arial"/>
          <w:b/>
          <w:color w:val="000000"/>
          <w:sz w:val="24"/>
          <w:szCs w:val="24"/>
        </w:rPr>
        <w:t xml:space="preserve">Quarta:</w:t>
      </w:r>
      <w:r>
        <w:rPr>
          <w:rFonts w:ascii="Arial" w:eastAsia="Arial" w:hAnsi="Arial" w:cs="Arial"/>
          <w:color w:val="000000"/>
          <w:sz w:val="24"/>
          <w:szCs w:val="24"/>
        </w:rPr>
        <w:t xml:space="preserve"> o dado extraído do próprio demonstrativo de reajuste de 2025 emitido pela Requerida, reproduzido no parecer do Assistente Técnico que instrui esta réplica (Doc. 12, item 4), informa variação de custo hospitalar de 4,80% e de tabela de honorários de 3,20%, e, no entanto, o contrato foi reajustado em 15,11%.</w:t>
      </w:r>
    </w:p>
    <w:p>
      <w:pPr>
        <w:keepNext/>
        <w:spacing w:before="120" w:after="60" w:line="360" w:lineRule="auto"/>
        <w:jc w:val="left"/>
      </w:pPr>
      <w:r>
        <w:rPr>
          <w:rFonts w:ascii="Arial" w:eastAsia="Arial" w:hAnsi="Arial" w:cs="Arial"/>
          <w:b/>
          <w:color w:val="000000"/>
          <w:sz w:val="24"/>
          <w:szCs w:val="24"/>
        </w:rPr>
        <w:t xml:space="preserve">V.1. Ônus da prova e exibição de documentos</w:t>
      </w:r>
    </w:p>
    <w:p>
      <w:pPr>
        <w:spacing w:before="0" w:after="120" w:line="360" w:lineRule="auto"/>
        <w:ind w:left="0" w:firstLine="1134"/>
        <w:jc w:val="both"/>
      </w:pPr>
      <w:r>
        <w:rPr>
          <w:rFonts w:ascii="Arial" w:eastAsia="Arial" w:hAnsi="Arial" w:cs="Arial"/>
          <w:color w:val="000000"/>
          <w:sz w:val="24"/>
          <w:szCs w:val="24"/>
        </w:rPr>
        <w:t xml:space="preserve">Ao afirmar que os percentuais decorrem de “cálculo atuarial” e de variação efetiva de custos, a Requerida alega fato </w:t>
      </w:r>
      <w:r>
        <w:rPr>
          <w:rFonts w:ascii="Arial" w:eastAsia="Arial" w:hAnsi="Arial" w:cs="Arial"/>
          <w:b/>
          <w:color w:val="000000"/>
          <w:sz w:val="24"/>
          <w:szCs w:val="24"/>
        </w:rPr>
        <w:t xml:space="preserve">impeditivo e modificativo</w:t>
      </w:r>
      <w:r>
        <w:rPr>
          <w:rFonts w:ascii="Arial" w:eastAsia="Arial" w:hAnsi="Arial" w:cs="Arial"/>
          <w:color w:val="000000"/>
          <w:sz w:val="24"/>
          <w:szCs w:val="24"/>
        </w:rPr>
        <w:t xml:space="preserve"> do direito dos Autores, e dele lhe incumbe o ônus de prova (art. 373, II, do CPC). Soma-se que a informação técnica (despesas assistenciais, receitas, número de vidas, nota técnica, composição do agrupamento) encontra-se </w:t>
      </w:r>
      <w:r>
        <w:rPr>
          <w:rFonts w:ascii="Arial" w:eastAsia="Arial" w:hAnsi="Arial" w:cs="Arial"/>
          <w:b/>
          <w:color w:val="000000"/>
          <w:sz w:val="24"/>
          <w:szCs w:val="24"/>
        </w:rPr>
        <w:t xml:space="preserve">exclusivamente</w:t>
      </w:r>
      <w:r>
        <w:rPr>
          <w:rFonts w:ascii="Arial" w:eastAsia="Arial" w:hAnsi="Arial" w:cs="Arial"/>
          <w:color w:val="000000"/>
          <w:sz w:val="24"/>
          <w:szCs w:val="24"/>
        </w:rPr>
        <w:t xml:space="preserve"> em seu poder, o que autoriza a inversão do ônus (CDC, art. 6º, VIII; CPC, art. 373, § 1º), já requerida na inicial.</w:t>
      </w:r>
    </w:p>
    <w:p>
      <w:pPr>
        <w:spacing w:before="0" w:after="120" w:line="360" w:lineRule="auto"/>
        <w:ind w:left="0" w:firstLine="1134"/>
        <w:jc w:val="both"/>
      </w:pPr>
      <w:r>
        <w:rPr>
          <w:rFonts w:ascii="Arial" w:eastAsia="Arial" w:hAnsi="Arial" w:cs="Arial"/>
          <w:color w:val="000000"/>
          <w:sz w:val="24"/>
          <w:szCs w:val="24"/>
        </w:rPr>
        <w:t xml:space="preserve">A decisão de 01/09/2026 (Id. 289152253) assinalou não ser possível aquilatar, à luz dos elementos da inicial, se a Requerida deixou de observar os limites estabelecidos pela ANS. É exatamente essa a dificuldade que a inversão do ônus visa a superar: os elementos que permitiriam aferir a regularidade dos percentuais estão com a Requerida, e a contestação não indica qualquer documento que os contenha. Os únicos documentos que ela </w:t>
      </w:r>
      <w:r>
        <w:rPr>
          <w:rFonts w:ascii="Arial" w:eastAsia="Arial" w:hAnsi="Arial" w:cs="Arial"/>
          <w:b/>
          <w:color w:val="000000"/>
          <w:sz w:val="24"/>
          <w:szCs w:val="24"/>
        </w:rPr>
        <w:t xml:space="preserve">declara</w:t>
      </w:r>
      <w:r>
        <w:rPr>
          <w:rFonts w:ascii="Arial" w:eastAsia="Arial" w:hAnsi="Arial" w:cs="Arial"/>
          <w:color w:val="000000"/>
          <w:sz w:val="24"/>
          <w:szCs w:val="24"/>
        </w:rPr>
        <w:t xml:space="preserve"> anexar são as Condições Gerais da apólice e os protocolos de comunicação à ANS (itens 48 e 50), que não tratam da apuração dos índices.</w:t>
      </w:r>
    </w:p>
    <w:p>
      <w:pPr>
        <w:spacing w:before="0" w:after="120" w:line="360" w:lineRule="auto"/>
        <w:ind w:left="0" w:firstLine="1134"/>
        <w:jc w:val="both"/>
      </w:pPr>
      <w:r>
        <w:rPr>
          <w:rFonts w:ascii="Arial" w:eastAsia="Arial" w:hAnsi="Arial" w:cs="Arial"/>
          <w:color w:val="000000"/>
          <w:sz w:val="24"/>
          <w:szCs w:val="24"/>
        </w:rPr>
        <w:t xml:space="preserve">Os próprios julgados que a Requerida invoca reconhecem que o reajuste coletivo só é legítimo quando “pautado por parâmetros atuariais, e não por critérios aleatórios e discricionários”, e quando “precedido de estudo atuarial prévio e não de simples, injustificada e irrazoável deliberação da operadora” (Acórdão 995979, 1ª Turma Cível do TJDFT, citado no item 93 da contestação). </w:t>
      </w:r>
      <w:r>
        <w:rPr>
          <w:rFonts w:ascii="Arial" w:eastAsia="Arial" w:hAnsi="Arial" w:cs="Arial"/>
          <w:b/>
          <w:color w:val="000000"/>
          <w:sz w:val="24"/>
          <w:szCs w:val="24"/>
        </w:rPr>
        <w:t xml:space="preserve">A prova desse estudo é da Requerida, e a contestação não a indica.</w:t>
      </w:r>
    </w:p>
    <w:p>
      <w:pPr>
        <w:keepNext/>
        <w:spacing w:before="240" w:after="120" w:line="360" w:lineRule="auto"/>
        <w:jc w:val="left"/>
      </w:pPr>
      <w:r>
        <w:rPr>
          <w:rFonts w:ascii="Arial" w:eastAsia="Arial" w:hAnsi="Arial" w:cs="Arial"/>
          <w:b/>
          <w:color w:val="000000"/>
          <w:sz w:val="24"/>
          <w:szCs w:val="24"/>
        </w:rPr>
        <w:t xml:space="preserve">VI — DO REAJUSTE POR FAIXA ETÁRIA DE 77,00% (59 ANOS)</w:t>
      </w:r>
    </w:p>
    <w:p>
      <w:pPr>
        <w:spacing w:before="0" w:after="120" w:line="360" w:lineRule="auto"/>
        <w:ind w:left="0" w:firstLine="1134"/>
        <w:jc w:val="both"/>
      </w:pPr>
      <w:r>
        <w:rPr>
          <w:rFonts w:ascii="Arial" w:eastAsia="Arial" w:hAnsi="Arial" w:cs="Arial"/>
          <w:color w:val="000000"/>
          <w:sz w:val="24"/>
          <w:szCs w:val="24"/>
        </w:rPr>
        <w:t xml:space="preserve">É incontroverso que, ao completar 59 anos em novembro de 2021, o 2º Autor teve o prêmio individual elevado de R$ 1.154,66 para R$ 2.043,74, isto é, </w:t>
      </w:r>
      <w:r>
        <w:rPr>
          <w:rFonts w:ascii="Arial" w:eastAsia="Arial" w:hAnsi="Arial" w:cs="Arial"/>
          <w:b/>
          <w:color w:val="000000"/>
          <w:sz w:val="24"/>
          <w:szCs w:val="24"/>
        </w:rPr>
        <w:t xml:space="preserve">77,00%</w:t>
      </w:r>
      <w:r>
        <w:rPr>
          <w:rFonts w:ascii="Arial" w:eastAsia="Arial" w:hAnsi="Arial" w:cs="Arial"/>
          <w:color w:val="000000"/>
          <w:sz w:val="24"/>
          <w:szCs w:val="24"/>
        </w:rPr>
        <w:t xml:space="preserve"> (contestação, item 49; faturas técnicas, Id. 289019370).</w:t>
      </w:r>
    </w:p>
    <w:p>
      <w:pPr>
        <w:spacing w:before="0" w:after="120" w:line="360" w:lineRule="auto"/>
        <w:ind w:left="0" w:firstLine="1134"/>
        <w:jc w:val="both"/>
      </w:pPr>
      <w:r>
        <w:rPr>
          <w:rFonts w:ascii="Arial" w:eastAsia="Arial" w:hAnsi="Arial" w:cs="Arial"/>
          <w:color w:val="000000"/>
          <w:sz w:val="24"/>
          <w:szCs w:val="24"/>
        </w:rPr>
        <w:t xml:space="preserve">A Requerida defende a licitude do percentual com base em previsão contratual, nas Condições Gerais (cláusula 14) e na RN ANS nº 63/2003. Mas, ao transcrever o Tema 952/STJ (itens 77 e 78), reconhece que a validade do reajuste por faixa etária exige </w:t>
      </w:r>
      <w:r>
        <w:rPr>
          <w:rFonts w:ascii="Arial" w:eastAsia="Arial" w:hAnsi="Arial" w:cs="Arial"/>
          <w:b/>
          <w:color w:val="000000"/>
          <w:sz w:val="24"/>
          <w:szCs w:val="24"/>
        </w:rPr>
        <w:t xml:space="preserve">três</w:t>
      </w:r>
      <w:r>
        <w:rPr>
          <w:rFonts w:ascii="Arial" w:eastAsia="Arial" w:hAnsi="Arial" w:cs="Arial"/>
          <w:color w:val="000000"/>
          <w:sz w:val="24"/>
          <w:szCs w:val="24"/>
        </w:rPr>
        <w:t xml:space="preserve"> requisitos cumulativos: </w:t>
      </w:r>
      <w:r>
        <w:rPr>
          <w:rFonts w:ascii="Arial" w:eastAsia="Arial" w:hAnsi="Arial" w:cs="Arial"/>
          <w:b/>
          <w:color w:val="000000"/>
          <w:sz w:val="24"/>
          <w:szCs w:val="24"/>
        </w:rPr>
        <w:t xml:space="preserve">(i)</w:t>
      </w:r>
      <w:r>
        <w:rPr>
          <w:rFonts w:ascii="Arial" w:eastAsia="Arial" w:hAnsi="Arial" w:cs="Arial"/>
          <w:color w:val="000000"/>
          <w:sz w:val="24"/>
          <w:szCs w:val="24"/>
        </w:rPr>
        <w:t xml:space="preserve"> previsão contratual; </w:t>
      </w:r>
      <w:r>
        <w:rPr>
          <w:rFonts w:ascii="Arial" w:eastAsia="Arial" w:hAnsi="Arial" w:cs="Arial"/>
          <w:b/>
          <w:color w:val="000000"/>
          <w:sz w:val="24"/>
          <w:szCs w:val="24"/>
        </w:rPr>
        <w:t xml:space="preserve">(ii)</w:t>
      </w:r>
      <w:r>
        <w:rPr>
          <w:rFonts w:ascii="Arial" w:eastAsia="Arial" w:hAnsi="Arial" w:cs="Arial"/>
          <w:color w:val="000000"/>
          <w:sz w:val="24"/>
          <w:szCs w:val="24"/>
        </w:rPr>
        <w:t xml:space="preserve"> observância das normas dos órgãos reguladores; e </w:t>
      </w:r>
      <w:r>
        <w:rPr>
          <w:rFonts w:ascii="Arial" w:eastAsia="Arial" w:hAnsi="Arial" w:cs="Arial"/>
          <w:b/>
          <w:color w:val="000000"/>
          <w:sz w:val="24"/>
          <w:szCs w:val="24"/>
        </w:rPr>
        <w:t xml:space="preserve">(iii)</w:t>
      </w:r>
      <w:r>
        <w:rPr>
          <w:rFonts w:ascii="Arial" w:eastAsia="Arial" w:hAnsi="Arial" w:cs="Arial"/>
          <w:color w:val="000000"/>
          <w:sz w:val="24"/>
          <w:szCs w:val="24"/>
        </w:rPr>
        <w:t xml:space="preserve"> que não sejam aplicados “percentuais desarrazoados ou aleatórios que, concretamente e sem base atuarial idônea, onerem excessivamente o consumidor ou discriminem o idoso”. A contestação dedica-se aos dois primeiros e </w:t>
      </w:r>
      <w:r>
        <w:rPr>
          <w:rFonts w:ascii="Arial" w:eastAsia="Arial" w:hAnsi="Arial" w:cs="Arial"/>
          <w:b/>
          <w:color w:val="000000"/>
          <w:sz w:val="24"/>
          <w:szCs w:val="24"/>
        </w:rPr>
        <w:t xml:space="preserve">não demonstra o terceiro</w:t>
      </w:r>
      <w:r>
        <w:rPr>
          <w:rFonts w:ascii="Arial" w:eastAsia="Arial" w:hAnsi="Arial" w:cs="Arial"/>
          <w:color w:val="000000"/>
          <w:sz w:val="24"/>
          <w:szCs w:val="24"/>
        </w:rPr>
        <w:t xml:space="preserve">, que é justamente o que se discute.</w:t>
      </w:r>
    </w:p>
    <w:p>
      <w:pPr>
        <w:spacing w:before="0" w:after="120" w:line="360" w:lineRule="auto"/>
        <w:ind w:left="0" w:firstLine="1134"/>
        <w:jc w:val="both"/>
      </w:pPr>
      <w:r>
        <w:rPr>
          <w:rFonts w:ascii="Arial" w:eastAsia="Arial" w:hAnsi="Arial" w:cs="Arial"/>
          <w:color w:val="000000"/>
          <w:sz w:val="24"/>
          <w:szCs w:val="24"/>
        </w:rPr>
        <w:t xml:space="preserve">No ponto, a Requerida limita-se a afirmar que o reajuste “deveu-se ao aumento do risco de ocorrência de sinistro, apurado por meio de cálculo atuarial” (item 83), sem apontar o cálculo, a nota técnica ou qualquer estudo. Afirmação não é prova. Permanecem, ademais, </w:t>
      </w:r>
      <w:r>
        <w:rPr>
          <w:rFonts w:ascii="Arial" w:eastAsia="Arial" w:hAnsi="Arial" w:cs="Arial"/>
          <w:b/>
          <w:color w:val="000000"/>
          <w:sz w:val="24"/>
          <w:szCs w:val="24"/>
        </w:rPr>
        <w:t xml:space="preserve">sem qualquer resposta</w:t>
      </w:r>
      <w:r>
        <w:rPr>
          <w:rFonts w:ascii="Arial" w:eastAsia="Arial" w:hAnsi="Arial" w:cs="Arial"/>
          <w:color w:val="000000"/>
          <w:sz w:val="24"/>
          <w:szCs w:val="24"/>
        </w:rPr>
        <w:t xml:space="preserve"> os fatos expostos na inicial (item IV.3):</w:t>
      </w:r>
    </w:p>
    <w:p>
      <w:pPr>
        <w:spacing w:before="0" w:after="120" w:line="360" w:lineRule="auto"/>
        <w:ind w:left="0" w:firstLine="1134"/>
        <w:jc w:val="both"/>
      </w:pPr>
      <w:r>
        <w:rPr>
          <w:rFonts w:ascii="Arial" w:eastAsia="Arial" w:hAnsi="Arial" w:cs="Arial"/>
          <w:b/>
          <w:color w:val="000000"/>
          <w:sz w:val="24"/>
          <w:szCs w:val="24"/>
        </w:rPr>
        <w:t xml:space="preserve">(a)</w:t>
      </w:r>
      <w:r>
        <w:rPr>
          <w:rFonts w:ascii="Arial" w:eastAsia="Arial" w:hAnsi="Arial" w:cs="Arial"/>
          <w:color w:val="000000"/>
          <w:sz w:val="24"/>
          <w:szCs w:val="24"/>
        </w:rPr>
        <w:t xml:space="preserve"> o percentual de 77,00% equivale a </w:t>
      </w:r>
      <w:r>
        <w:rPr>
          <w:rFonts w:ascii="Arial" w:eastAsia="Arial" w:hAnsi="Arial" w:cs="Arial"/>
          <w:b/>
          <w:color w:val="000000"/>
          <w:sz w:val="24"/>
          <w:szCs w:val="24"/>
        </w:rPr>
        <w:t xml:space="preserve">4,63 vezes a média das oito demais transições</w:t>
      </w:r>
      <w:r>
        <w:rPr>
          <w:rFonts w:ascii="Arial" w:eastAsia="Arial" w:hAnsi="Arial" w:cs="Arial"/>
          <w:color w:val="000000"/>
          <w:sz w:val="24"/>
          <w:szCs w:val="24"/>
        </w:rPr>
        <w:t xml:space="preserve"> da própria tabela contratual (16,63%) e concentra </w:t>
      </w:r>
      <w:r>
        <w:rPr>
          <w:rFonts w:ascii="Arial" w:eastAsia="Arial" w:hAnsi="Arial" w:cs="Arial"/>
          <w:b/>
          <w:color w:val="000000"/>
          <w:sz w:val="24"/>
          <w:szCs w:val="24"/>
        </w:rPr>
        <w:t xml:space="preserve">31,87% de toda a variação etária acumulada</w:t>
      </w:r>
      <w:r>
        <w:rPr>
          <w:rFonts w:ascii="Arial" w:eastAsia="Arial" w:hAnsi="Arial" w:cs="Arial"/>
          <w:color w:val="000000"/>
          <w:sz w:val="24"/>
          <w:szCs w:val="24"/>
        </w:rPr>
        <w:t xml:space="preserve"> em um único degrau;</w:t>
      </w:r>
    </w:p>
    <w:p>
      <w:pPr>
        <w:spacing w:before="0" w:after="120" w:line="360" w:lineRule="auto"/>
        <w:ind w:left="0" w:firstLine="1134"/>
        <w:jc w:val="both"/>
      </w:pPr>
      <w:r>
        <w:rPr>
          <w:rFonts w:ascii="Arial" w:eastAsia="Arial" w:hAnsi="Arial" w:cs="Arial"/>
          <w:b/>
          <w:color w:val="000000"/>
          <w:sz w:val="24"/>
          <w:szCs w:val="24"/>
        </w:rPr>
        <w:t xml:space="preserve">(b)</w:t>
      </w:r>
      <w:r>
        <w:rPr>
          <w:rFonts w:ascii="Arial" w:eastAsia="Arial" w:hAnsi="Arial" w:cs="Arial"/>
          <w:color w:val="000000"/>
          <w:sz w:val="24"/>
          <w:szCs w:val="24"/>
        </w:rPr>
        <w:t xml:space="preserve"> o Painel de Precificação da ANS indica, para a faixa de 59 anos, parâmetro de </w:t>
      </w:r>
      <w:r>
        <w:rPr>
          <w:rFonts w:ascii="Arial" w:eastAsia="Arial" w:hAnsi="Arial" w:cs="Arial"/>
          <w:b/>
          <w:color w:val="000000"/>
          <w:sz w:val="24"/>
          <w:szCs w:val="24"/>
        </w:rPr>
        <w:t xml:space="preserve">41,80%</w:t>
      </w:r>
      <w:r>
        <w:rPr>
          <w:rFonts w:ascii="Arial" w:eastAsia="Arial" w:hAnsi="Arial" w:cs="Arial"/>
          <w:color w:val="000000"/>
          <w:sz w:val="24"/>
          <w:szCs w:val="24"/>
        </w:rPr>
        <w:t xml:space="preserve">, de modo que a Requerida praticou percentual </w:t>
      </w:r>
      <w:r>
        <w:rPr>
          <w:rFonts w:ascii="Arial" w:eastAsia="Arial" w:hAnsi="Arial" w:cs="Arial"/>
          <w:b/>
          <w:color w:val="000000"/>
          <w:sz w:val="24"/>
          <w:szCs w:val="24"/>
        </w:rPr>
        <w:t xml:space="preserve">84,2% superior</w:t>
      </w:r>
      <w:r>
        <w:rPr>
          <w:rFonts w:ascii="Arial" w:eastAsia="Arial" w:hAnsi="Arial" w:cs="Arial"/>
          <w:color w:val="000000"/>
          <w:sz w:val="24"/>
          <w:szCs w:val="24"/>
        </w:rPr>
        <w:t xml:space="preserve"> ao referencial da própria Agência; e</w:t>
      </w:r>
    </w:p>
    <w:p>
      <w:pPr>
        <w:spacing w:before="0" w:after="120" w:line="360" w:lineRule="auto"/>
        <w:ind w:left="0" w:firstLine="1134"/>
        <w:jc w:val="both"/>
      </w:pPr>
      <w:r>
        <w:rPr>
          <w:rFonts w:ascii="Arial" w:eastAsia="Arial" w:hAnsi="Arial" w:cs="Arial"/>
          <w:b/>
          <w:color w:val="000000"/>
          <w:sz w:val="24"/>
          <w:szCs w:val="24"/>
        </w:rPr>
        <w:t xml:space="preserve">(c)</w:t>
      </w:r>
      <w:r>
        <w:rPr>
          <w:rFonts w:ascii="Arial" w:eastAsia="Arial" w:hAnsi="Arial" w:cs="Arial"/>
          <w:color w:val="000000"/>
          <w:sz w:val="24"/>
          <w:szCs w:val="24"/>
        </w:rPr>
        <w:t xml:space="preserve"> o reajuste elevou em </w:t>
      </w:r>
      <w:r>
        <w:rPr>
          <w:rFonts w:ascii="Arial" w:eastAsia="Arial" w:hAnsi="Arial" w:cs="Arial"/>
          <w:b/>
          <w:color w:val="000000"/>
          <w:sz w:val="24"/>
          <w:szCs w:val="24"/>
        </w:rPr>
        <w:t xml:space="preserve">29,08% em um único mês</w:t>
      </w:r>
      <w:r>
        <w:rPr>
          <w:rFonts w:ascii="Arial" w:eastAsia="Arial" w:hAnsi="Arial" w:cs="Arial"/>
          <w:color w:val="000000"/>
          <w:sz w:val="24"/>
          <w:szCs w:val="24"/>
        </w:rPr>
        <w:t xml:space="preserve"> o prêmio de todo o grupo familiar, sem alteração das condições dos demais segurados.</w:t>
      </w:r>
    </w:p>
    <w:p>
      <w:pPr>
        <w:spacing w:before="0" w:after="120" w:line="360" w:lineRule="auto"/>
        <w:ind w:left="0" w:firstLine="1134"/>
        <w:jc w:val="both"/>
      </w:pPr>
      <w:r>
        <w:rPr>
          <w:rFonts w:ascii="Arial" w:eastAsia="Arial" w:hAnsi="Arial" w:cs="Arial"/>
          <w:color w:val="000000"/>
          <w:sz w:val="24"/>
          <w:szCs w:val="24"/>
        </w:rPr>
        <w:t xml:space="preserve">Esses elementos demonstram o caráter desarrazoado do percentual, na linha do Tema 952/STJ, que o Tema 1016/STJ estendeu aos planos coletivos, e atraem a proteção do art. 15, § 3º, da Lei 10.741/2003, pois o beneficiário atingido é pessoa idosa (63 anos). O próprio precedente invocado pela Requerida (REsp 866.840/SP, item 88) assenta que a abusividade é aferida “caso a caso”, e o caso concreto exibe um percentual desproporcional, sem base atuarial demonstrada.</w:t>
      </w:r>
    </w:p>
    <w:p>
      <w:pPr>
        <w:spacing w:before="0" w:after="120" w:line="360" w:lineRule="auto"/>
        <w:ind w:left="0" w:firstLine="1134"/>
        <w:jc w:val="both"/>
      </w:pPr>
      <w:r>
        <w:rPr>
          <w:rFonts w:ascii="Arial" w:eastAsia="Arial" w:hAnsi="Arial" w:cs="Arial"/>
          <w:color w:val="000000"/>
          <w:sz w:val="24"/>
          <w:szCs w:val="24"/>
        </w:rPr>
        <w:t xml:space="preserve">Registre-se, por fim, que os itens 72 e 73 da contestação invocam “autorizações da ANS para os planos contratados até 01.01.1999 e não adaptados à Lei 9656/98” e discutem a aplicação do Estatuto do Idoso a contratos anteriores a 2003, argumentos que não guardam relação com o caso: a própria Requerida informa que a apólice teve vigência iniciada em </w:t>
      </w:r>
      <w:r>
        <w:rPr>
          <w:rFonts w:ascii="Arial" w:eastAsia="Arial" w:hAnsi="Arial" w:cs="Arial"/>
          <w:b/>
          <w:color w:val="000000"/>
          <w:sz w:val="24"/>
          <w:szCs w:val="24"/>
        </w:rPr>
        <w:t xml:space="preserve">13/11/2013</w:t>
      </w:r>
      <w:r>
        <w:rPr>
          <w:rFonts w:ascii="Arial" w:eastAsia="Arial" w:hAnsi="Arial" w:cs="Arial"/>
          <w:color w:val="000000"/>
          <w:sz w:val="24"/>
          <w:szCs w:val="24"/>
        </w:rPr>
        <w:t xml:space="preserve"> (item 3), e afirma, no item 73, que, para os contratos posteriores a 2003, adequou-os à RN ANS nº 63/2003. Afastada a premissa, caem as conclusões que dela derivam. O mesmo se diga do acórdão do TJDFT de 2013 (nº 683101), anterior ao Tema 952 e ao Tema 1016, e do acórdão nº 1186100, em que a beneficiária </w:t>
      </w:r>
      <w:r>
        <w:rPr>
          <w:rFonts w:ascii="Arial" w:eastAsia="Arial" w:hAnsi="Arial" w:cs="Arial"/>
          <w:b/>
          <w:color w:val="000000"/>
          <w:sz w:val="24"/>
          <w:szCs w:val="24"/>
        </w:rPr>
        <w:t xml:space="preserve">já ingressara</w:t>
      </w:r>
      <w:r>
        <w:rPr>
          <w:rFonts w:ascii="Arial" w:eastAsia="Arial" w:hAnsi="Arial" w:cs="Arial"/>
          <w:color w:val="000000"/>
          <w:sz w:val="24"/>
          <w:szCs w:val="24"/>
        </w:rPr>
        <w:t xml:space="preserve"> na última faixa etária, não havendo reajuste etário em discussão.</w:t>
      </w:r>
    </w:p>
    <w:p>
      <w:pPr>
        <w:keepNext/>
        <w:spacing w:before="240" w:after="120" w:line="360" w:lineRule="auto"/>
        <w:jc w:val="left"/>
      </w:pPr>
      <w:r>
        <w:rPr>
          <w:rFonts w:ascii="Arial" w:eastAsia="Arial" w:hAnsi="Arial" w:cs="Arial"/>
          <w:b/>
          <w:color w:val="000000"/>
          <w:sz w:val="24"/>
          <w:szCs w:val="24"/>
        </w:rPr>
        <w:t xml:space="preserve">VII — DO PARECER DO ASSISTENTE TÉCNICO (DOCUMENTO NOVO) E DO QUANTUM</w:t>
      </w:r>
    </w:p>
    <w:p>
      <w:pPr>
        <w:keepNext/>
        <w:spacing w:before="120" w:after="60" w:line="360" w:lineRule="auto"/>
        <w:jc w:val="left"/>
      </w:pPr>
      <w:r>
        <w:rPr>
          <w:rFonts w:ascii="Arial" w:eastAsia="Arial" w:hAnsi="Arial" w:cs="Arial"/>
          <w:b/>
          <w:color w:val="000000"/>
          <w:sz w:val="24"/>
          <w:szCs w:val="24"/>
        </w:rPr>
        <w:t xml:space="preserve">VII.1. Juntada do parecer</w:t>
      </w:r>
    </w:p>
    <w:p>
      <w:pPr>
        <w:spacing w:before="0" w:after="120" w:line="360" w:lineRule="auto"/>
        <w:ind w:left="0" w:firstLine="1134"/>
        <w:jc w:val="both"/>
      </w:pPr>
      <w:r>
        <w:rPr>
          <w:rFonts w:ascii="Arial" w:eastAsia="Arial" w:hAnsi="Arial" w:cs="Arial"/>
          <w:color w:val="000000"/>
          <w:sz w:val="24"/>
          <w:szCs w:val="24"/>
        </w:rPr>
        <w:t xml:space="preserve">Os Autores juntam, com esta réplica, o </w:t>
      </w:r>
      <w:r>
        <w:rPr>
          <w:rFonts w:ascii="Arial" w:eastAsia="Arial" w:hAnsi="Arial" w:cs="Arial"/>
          <w:b/>
          <w:color w:val="000000"/>
          <w:sz w:val="24"/>
          <w:szCs w:val="24"/>
        </w:rPr>
        <w:t xml:space="preserve">Parecer Técnico de 28/09/2026 (Doc. 12)</w:t>
      </w:r>
      <w:r>
        <w:rPr>
          <w:rFonts w:ascii="Arial" w:eastAsia="Arial" w:hAnsi="Arial" w:cs="Arial"/>
          <w:color w:val="000000"/>
          <w:sz w:val="24"/>
          <w:szCs w:val="24"/>
        </w:rPr>
        <w:t xml:space="preserve">, elaborado pelo Assistente Técnico </w:t>
      </w:r>
      <w:r>
        <w:rPr>
          <w:rFonts w:ascii="Arial" w:eastAsia="Arial" w:hAnsi="Arial" w:cs="Arial"/>
          <w:b/>
          <w:color w:val="000000"/>
          <w:sz w:val="24"/>
          <w:szCs w:val="24"/>
        </w:rPr>
        <w:t xml:space="preserve">Marcelo Ever de Almeida (M B W LTDA ME)</w:t>
      </w:r>
      <w:r>
        <w:rPr>
          <w:rFonts w:ascii="Arial" w:eastAsia="Arial" w:hAnsi="Arial" w:cs="Arial"/>
          <w:color w:val="000000"/>
          <w:sz w:val="24"/>
          <w:szCs w:val="24"/>
        </w:rPr>
        <w:t xml:space="preserve">, pós-graduado em Gestão da Atenção à Saúde (Fundação Dom Cabral e Instituto de Ensino e Pesquisa do Hospital Sírio-Libanês), com experiência prévia em gerência de risco e em gestão de operações hospitalares, conforme sua qualificação no próprio documento. O parecer foi produzido </w:t>
      </w:r>
      <w:r>
        <w:rPr>
          <w:rFonts w:ascii="Arial" w:eastAsia="Arial" w:hAnsi="Arial" w:cs="Arial"/>
          <w:b/>
          <w:color w:val="000000"/>
          <w:sz w:val="24"/>
          <w:szCs w:val="24"/>
        </w:rPr>
        <w:t xml:space="preserve">após</w:t>
      </w:r>
      <w:r>
        <w:rPr>
          <w:rFonts w:ascii="Arial" w:eastAsia="Arial" w:hAnsi="Arial" w:cs="Arial"/>
          <w:color w:val="000000"/>
          <w:sz w:val="24"/>
          <w:szCs w:val="24"/>
        </w:rPr>
        <w:t xml:space="preserve"> a contestação e </w:t>
      </w:r>
      <w:r>
        <w:rPr>
          <w:rFonts w:ascii="Arial" w:eastAsia="Arial" w:hAnsi="Arial" w:cs="Arial"/>
          <w:b/>
          <w:color w:val="000000"/>
          <w:sz w:val="24"/>
          <w:szCs w:val="24"/>
        </w:rPr>
        <w:t xml:space="preserve">contrapõe</w:t>
      </w:r>
      <w:r>
        <w:rPr>
          <w:rFonts w:ascii="Arial" w:eastAsia="Arial" w:hAnsi="Arial" w:cs="Arial"/>
          <w:color w:val="000000"/>
          <w:sz w:val="24"/>
          <w:szCs w:val="24"/>
        </w:rPr>
        <w:t xml:space="preserve"> as alegações nela deduzidas quanto à ausência de lastro técnico dos índices; sua juntada é admitida pelo art. 435, </w:t>
      </w:r>
      <w:r>
        <w:rPr>
          <w:rFonts w:ascii="Arial" w:eastAsia="Arial" w:hAnsi="Arial" w:cs="Arial"/>
          <w:i/>
          <w:color w:val="000000"/>
          <w:sz w:val="24"/>
          <w:szCs w:val="24"/>
        </w:rPr>
        <w:t xml:space="preserve">caput</w:t>
      </w:r>
      <w:r>
        <w:rPr>
          <w:rFonts w:ascii="Arial" w:eastAsia="Arial" w:hAnsi="Arial" w:cs="Arial"/>
          <w:color w:val="000000"/>
          <w:sz w:val="24"/>
          <w:szCs w:val="24"/>
        </w:rPr>
        <w:t xml:space="preserve"> e parágrafo único, do CPC, assegurado à Requerida o contraditório (art. 437, § 1º).</w:t>
      </w:r>
    </w:p>
    <w:p>
      <w:pPr>
        <w:spacing w:before="0" w:after="120" w:line="360" w:lineRule="auto"/>
        <w:ind w:left="0" w:firstLine="1134"/>
        <w:jc w:val="both"/>
      </w:pPr>
      <w:r>
        <w:rPr>
          <w:rFonts w:ascii="Arial" w:eastAsia="Arial" w:hAnsi="Arial" w:cs="Arial"/>
          <w:color w:val="000000"/>
          <w:sz w:val="24"/>
          <w:szCs w:val="24"/>
        </w:rPr>
        <w:t xml:space="preserve">Esclarece-se que os Autores se valem do parecer </w:t>
      </w:r>
      <w:r>
        <w:rPr>
          <w:rFonts w:ascii="Arial" w:eastAsia="Arial" w:hAnsi="Arial" w:cs="Arial"/>
          <w:b/>
          <w:color w:val="000000"/>
          <w:sz w:val="24"/>
          <w:szCs w:val="24"/>
        </w:rPr>
        <w:t xml:space="preserve">exclusivamente em seu conteúdo técnico e de cálculo</w:t>
      </w:r>
      <w:r>
        <w:rPr>
          <w:rFonts w:ascii="Arial" w:eastAsia="Arial" w:hAnsi="Arial" w:cs="Arial"/>
          <w:color w:val="000000"/>
          <w:sz w:val="24"/>
          <w:szCs w:val="24"/>
        </w:rPr>
        <w:t xml:space="preserve">. A fundamentação jurídica é a da inicial e da presente réplica, não se adotando, como razão de decidir, as passagens do documento que discorrem sobre jurisprudência.</w:t>
      </w:r>
    </w:p>
    <w:p>
      <w:pPr>
        <w:keepNext/>
        <w:spacing w:before="120" w:after="60" w:line="360" w:lineRule="auto"/>
        <w:jc w:val="left"/>
      </w:pPr>
      <w:r>
        <w:rPr>
          <w:rFonts w:ascii="Arial" w:eastAsia="Arial" w:hAnsi="Arial" w:cs="Arial"/>
          <w:b/>
          <w:color w:val="000000"/>
          <w:sz w:val="24"/>
          <w:szCs w:val="24"/>
        </w:rPr>
        <w:t xml:space="preserve">VII.2. Convergência de conclusões e explicação da diferença de valores</w:t>
      </w:r>
    </w:p>
    <w:p>
      <w:pPr>
        <w:spacing w:before="0" w:after="120" w:line="360" w:lineRule="auto"/>
        <w:ind w:left="0" w:firstLine="1134"/>
        <w:jc w:val="both"/>
      </w:pPr>
      <w:r>
        <w:rPr>
          <w:rFonts w:ascii="Arial" w:eastAsia="Arial" w:hAnsi="Arial" w:cs="Arial"/>
          <w:color w:val="000000"/>
          <w:sz w:val="24"/>
          <w:szCs w:val="24"/>
        </w:rPr>
        <w:t xml:space="preserve">O parecer ratifica as conclusões da inicial: ausência de memória de cálculo, de base estatística e de documentos que permitam auditar a sinistralidade e o VCMH; desproporção do reajuste de 59 anos frente ao parâmetro de 41,80% da ANS; e caracterização do “falso coletivo”, por tratar-se de apólice de quatro vidas de uma mesma família. Conclui que, diante da impossibilidade de auditar os índices, os reajustes devem ser substituídos, por analogia, pelos índices oficiais, apurando </w:t>
      </w:r>
      <w:r>
        <w:rPr>
          <w:rFonts w:ascii="Arial" w:eastAsia="Arial" w:hAnsi="Arial" w:cs="Arial"/>
          <w:b/>
          <w:color w:val="000000"/>
          <w:sz w:val="24"/>
          <w:szCs w:val="24"/>
        </w:rPr>
        <w:t xml:space="preserve">diferença a restituir superior a R$ 100 mil</w:t>
      </w:r>
      <w:r>
        <w:rPr>
          <w:rFonts w:ascii="Arial" w:eastAsia="Arial" w:hAnsi="Arial" w:cs="Arial"/>
          <w:color w:val="000000"/>
          <w:sz w:val="24"/>
          <w:szCs w:val="24"/>
        </w:rPr>
        <w:t xml:space="preserve"> e redução expressiva da mensalidade.</w:t>
      </w:r>
    </w:p>
    <w:p>
      <w:pPr>
        <w:spacing w:before="0" w:after="120" w:line="360" w:lineRule="auto"/>
        <w:ind w:left="0" w:firstLine="1134"/>
        <w:jc w:val="both"/>
      </w:pPr>
      <w:r>
        <w:rPr>
          <w:rFonts w:ascii="Arial" w:eastAsia="Arial" w:hAnsi="Arial" w:cs="Arial"/>
          <w:color w:val="000000"/>
          <w:sz w:val="24"/>
          <w:szCs w:val="24"/>
        </w:rPr>
        <w:t xml:space="preserve">O quadro da inicial (Id. 289019381) apurou R$ 110.108,71 (37 competências, de agosto/2023 a agosto/2026) e mensalidade recalculada de R$ 4.686,30. O parecer do Assistente Técnico apurou </w:t>
      </w:r>
      <w:r>
        <w:rPr>
          <w:rFonts w:ascii="Arial" w:eastAsia="Arial" w:hAnsi="Arial" w:cs="Arial"/>
          <w:b/>
          <w:color w:val="000000"/>
          <w:sz w:val="24"/>
          <w:szCs w:val="24"/>
        </w:rPr>
        <w:t xml:space="preserve">R$ 101.455,00</w:t>
      </w:r>
      <w:r>
        <w:rPr>
          <w:rFonts w:ascii="Arial" w:eastAsia="Arial" w:hAnsi="Arial" w:cs="Arial"/>
          <w:color w:val="000000"/>
          <w:sz w:val="24"/>
          <w:szCs w:val="24"/>
        </w:rPr>
        <w:t xml:space="preserve"> e mensalidade recalculada de </w:t>
      </w:r>
      <w:r>
        <w:rPr>
          <w:rFonts w:ascii="Arial" w:eastAsia="Arial" w:hAnsi="Arial" w:cs="Arial"/>
          <w:b/>
          <w:color w:val="000000"/>
          <w:sz w:val="24"/>
          <w:szCs w:val="24"/>
        </w:rPr>
        <w:t xml:space="preserve">R$ 5.067,77</w:t>
      </w:r>
      <w:r>
        <w:rPr>
          <w:rFonts w:ascii="Arial" w:eastAsia="Arial" w:hAnsi="Arial" w:cs="Arial"/>
          <w:color w:val="000000"/>
          <w:sz w:val="24"/>
          <w:szCs w:val="24"/>
        </w:rPr>
        <w:t xml:space="preserve"> (base outubro/2026). A diferença, que os Autores fazem questão de esclarecer, decorre de </w:t>
      </w:r>
      <w:r>
        <w:rPr>
          <w:rFonts w:ascii="Arial" w:eastAsia="Arial" w:hAnsi="Arial" w:cs="Arial"/>
          <w:b/>
          <w:color w:val="000000"/>
          <w:sz w:val="24"/>
          <w:szCs w:val="24"/>
        </w:rPr>
        <w:t xml:space="preserve">duas escolhas metodológicas objetivas e identificáveis</w:t>
      </w:r>
      <w:r>
        <w:rPr>
          <w:rFonts w:ascii="Arial" w:eastAsia="Arial" w:hAnsi="Arial" w:cs="Arial"/>
          <w:color w:val="000000"/>
          <w:sz w:val="24"/>
          <w:szCs w:val="24"/>
        </w:rPr>
        <w:t xml:space="preserve">:</w:t>
      </w:r>
    </w:p>
    <w:p>
      <w:pPr>
        <w:spacing w:before="0" w:after="120" w:line="360" w:lineRule="auto"/>
        <w:ind w:left="0" w:firstLine="1134"/>
        <w:jc w:val="both"/>
      </w:pPr>
      <w:r>
        <w:rPr>
          <w:rFonts w:ascii="Arial" w:eastAsia="Arial" w:hAnsi="Arial" w:cs="Arial"/>
          <w:b/>
          <w:color w:val="000000"/>
          <w:sz w:val="24"/>
          <w:szCs w:val="24"/>
        </w:rPr>
        <w:t xml:space="preserve">(i) base de cálculo:</w:t>
      </w:r>
      <w:r>
        <w:rPr>
          <w:rFonts w:ascii="Arial" w:eastAsia="Arial" w:hAnsi="Arial" w:cs="Arial"/>
          <w:color w:val="000000"/>
          <w:sz w:val="24"/>
          <w:szCs w:val="24"/>
        </w:rPr>
        <w:t xml:space="preserve"> o parecer incorpora ao prêmio recalculado o percentual de </w:t>
      </w:r>
      <w:r>
        <w:rPr>
          <w:rFonts w:ascii="Arial" w:eastAsia="Arial" w:hAnsi="Arial" w:cs="Arial"/>
          <w:b/>
          <w:color w:val="000000"/>
          <w:sz w:val="24"/>
          <w:szCs w:val="24"/>
        </w:rPr>
        <w:t xml:space="preserve">8,14%</w:t>
      </w:r>
      <w:r>
        <w:rPr>
          <w:rFonts w:ascii="Arial" w:eastAsia="Arial" w:hAnsi="Arial" w:cs="Arial"/>
          <w:color w:val="000000"/>
          <w:sz w:val="24"/>
          <w:szCs w:val="24"/>
        </w:rPr>
        <w:t xml:space="preserve"> referente ao ciclo de 2020, cujo repasse foi suspenso pelo Comunicado DICOL/ANS nº 85/2020 e recomposto em 2021 (percentual que corresponde ao teto fixado pela ANS para os planos individuais naquele ciclo), ao passo que o quadro da inicial não incorporou o reajuste de 2020 à base de cálculo. A diferença de mensalidade (R$ 5.067,77 – R$ 4.686,30) corresponde exatamente a esse acréscimo de 8,14% (R$ 4.686,30 × 1,0814 = R$ 5.067,77); e</w:t>
      </w:r>
    </w:p>
    <w:p>
      <w:pPr>
        <w:spacing w:before="0" w:after="120" w:line="360" w:lineRule="auto"/>
        <w:ind w:left="0" w:firstLine="1134"/>
        <w:jc w:val="both"/>
      </w:pPr>
      <w:r>
        <w:rPr>
          <w:rFonts w:ascii="Arial" w:eastAsia="Arial" w:hAnsi="Arial" w:cs="Arial"/>
          <w:b/>
          <w:color w:val="000000"/>
          <w:sz w:val="24"/>
          <w:szCs w:val="24"/>
        </w:rPr>
        <w:t xml:space="preserve">(ii) recorte temporal:</w:t>
      </w:r>
      <w:r>
        <w:rPr>
          <w:rFonts w:ascii="Arial" w:eastAsia="Arial" w:hAnsi="Arial" w:cs="Arial"/>
          <w:color w:val="000000"/>
          <w:sz w:val="24"/>
          <w:szCs w:val="24"/>
        </w:rPr>
        <w:t xml:space="preserve"> o parecer computou os 36 meses até outubro/2026 (novembro/2023 a outubro/2026), data de sua elaboração, ao passo que a inicial computou o triênio anterior ao ajuizamento, de agosto/2023 a agosto/2026 (37 competências), critério que reflete o marco da prescrição trienal (Tema 610).</w:t>
      </w:r>
    </w:p>
    <w:p>
      <w:pPr>
        <w:spacing w:before="0" w:after="120" w:line="360" w:lineRule="auto"/>
        <w:ind w:left="0" w:firstLine="1134"/>
        <w:jc w:val="both"/>
      </w:pPr>
      <w:r>
        <w:rPr>
          <w:rFonts w:ascii="Arial" w:eastAsia="Arial" w:hAnsi="Arial" w:cs="Arial"/>
          <w:color w:val="000000"/>
          <w:sz w:val="24"/>
          <w:szCs w:val="24"/>
        </w:rPr>
        <w:t xml:space="preserve">Trata-se, pois, de </w:t>
      </w:r>
      <w:r>
        <w:rPr>
          <w:rFonts w:ascii="Arial" w:eastAsia="Arial" w:hAnsi="Arial" w:cs="Arial"/>
          <w:b/>
          <w:color w:val="000000"/>
          <w:sz w:val="24"/>
          <w:szCs w:val="24"/>
        </w:rPr>
        <w:t xml:space="preserve">cenários de cálculo</w:t>
      </w:r>
      <w:r>
        <w:rPr>
          <w:rFonts w:ascii="Arial" w:eastAsia="Arial" w:hAnsi="Arial" w:cs="Arial"/>
          <w:color w:val="000000"/>
          <w:sz w:val="24"/>
          <w:szCs w:val="24"/>
        </w:rPr>
        <w:t xml:space="preserve">, e não de divergência quanto à tese. Ambos convergem na existência de pagamento a maior em montante superior a R$ 100.000,00 e na redução da mensalidade para cerca de 53% a 58% do valor hoje cobrado (R$ 8.801,90). Os Autores </w:t>
      </w:r>
      <w:r>
        <w:rPr>
          <w:rFonts w:ascii="Arial" w:eastAsia="Arial" w:hAnsi="Arial" w:cs="Arial"/>
          <w:b/>
          <w:color w:val="000000"/>
          <w:sz w:val="24"/>
          <w:szCs w:val="24"/>
        </w:rPr>
        <w:t xml:space="preserve">mantêm o valor da inicial</w:t>
      </w:r>
      <w:r>
        <w:rPr>
          <w:rFonts w:ascii="Arial" w:eastAsia="Arial" w:hAnsi="Arial" w:cs="Arial"/>
          <w:color w:val="000000"/>
          <w:sz w:val="24"/>
          <w:szCs w:val="24"/>
        </w:rPr>
        <w:t xml:space="preserve">, ao qual a causa foi atribuída. O valor definitivo, atualizado, será apurado em liquidação, por simples cálculo aritmético a partir dos índices da ANS, sem necessidade de prova pericial (inicial, pedido “d.5”).</w:t>
      </w:r>
    </w:p>
    <w:p>
      <w:pPr>
        <w:keepNext/>
        <w:spacing w:before="120" w:after="60" w:line="360" w:lineRule="auto"/>
        <w:jc w:val="left"/>
      </w:pPr>
      <w:r>
        <w:rPr>
          <w:rFonts w:ascii="Arial" w:eastAsia="Arial" w:hAnsi="Arial" w:cs="Arial"/>
          <w:b/>
          <w:color w:val="000000"/>
          <w:sz w:val="24"/>
          <w:szCs w:val="24"/>
        </w:rPr>
        <w:t xml:space="preserve">VII.3. Retificação de erro material quanto ao reajuste de novembro/2023</w:t>
      </w:r>
    </w:p>
    <w:p>
      <w:pPr>
        <w:spacing w:before="0" w:after="120" w:line="360" w:lineRule="auto"/>
        <w:ind w:left="0" w:firstLine="1134"/>
        <w:jc w:val="both"/>
      </w:pPr>
      <w:r>
        <w:rPr>
          <w:rFonts w:ascii="Arial" w:eastAsia="Arial" w:hAnsi="Arial" w:cs="Arial"/>
          <w:color w:val="000000"/>
          <w:sz w:val="24"/>
          <w:szCs w:val="24"/>
        </w:rPr>
        <w:t xml:space="preserve">A tabela do item IV.2 e o pedido “d.2” da inicial apontam, para novembro/2023, o percentual de </w:t>
      </w:r>
      <w:r>
        <w:rPr>
          <w:rFonts w:ascii="Arial" w:eastAsia="Arial" w:hAnsi="Arial" w:cs="Arial"/>
          <w:b/>
          <w:color w:val="000000"/>
          <w:sz w:val="24"/>
          <w:szCs w:val="24"/>
        </w:rPr>
        <w:t xml:space="preserve">25,30%</w:t>
      </w:r>
      <w:r>
        <w:rPr>
          <w:rFonts w:ascii="Arial" w:eastAsia="Arial" w:hAnsi="Arial" w:cs="Arial"/>
          <w:color w:val="000000"/>
          <w:sz w:val="24"/>
          <w:szCs w:val="24"/>
        </w:rPr>
        <w:t xml:space="preserve">. Esse número corresponde à </w:t>
      </w:r>
      <w:r>
        <w:rPr>
          <w:rFonts w:ascii="Arial" w:eastAsia="Arial" w:hAnsi="Arial" w:cs="Arial"/>
          <w:b/>
          <w:color w:val="000000"/>
          <w:sz w:val="24"/>
          <w:szCs w:val="24"/>
        </w:rPr>
        <w:t xml:space="preserve">variação global do prêmio do grupo familiar</w:t>
      </w:r>
      <w:r>
        <w:rPr>
          <w:rFonts w:ascii="Arial" w:eastAsia="Arial" w:hAnsi="Arial" w:cs="Arial"/>
          <w:color w:val="000000"/>
          <w:sz w:val="24"/>
          <w:szCs w:val="24"/>
        </w:rPr>
        <w:t xml:space="preserve"> naquela competência (R$ 5.045,08 para R$ 6.321,53), que reuniu o reajuste anual e o reajuste etário de 10,00% do 5º Autor. O </w:t>
      </w:r>
      <w:r>
        <w:rPr>
          <w:rFonts w:ascii="Arial" w:eastAsia="Arial" w:hAnsi="Arial" w:cs="Arial"/>
          <w:b/>
          <w:color w:val="000000"/>
          <w:sz w:val="24"/>
          <w:szCs w:val="24"/>
        </w:rPr>
        <w:t xml:space="preserve">reajuste anual propriamente dito foi de 23,79%</w:t>
      </w:r>
      <w:r>
        <w:rPr>
          <w:rFonts w:ascii="Arial" w:eastAsia="Arial" w:hAnsi="Arial" w:cs="Arial"/>
          <w:color w:val="000000"/>
          <w:sz w:val="24"/>
          <w:szCs w:val="24"/>
        </w:rPr>
        <w:t xml:space="preserve">, como consta do item V.5 da inicial, do Quadro Demonstrativo (nota metodológica 2) e, agora, da própria contestação (item 49), e é esse o percentual efetivamente substituído no recálculo. Requer-se, assim, que o item “d.2” e a tabela IV.2 sejam lidos com a ressalva de que, onde consta 25,30%, o reajuste anual impugnado é de 23,79% (excesso de 14,16% em relação ao índice de 9,63%). A retificação não altera o pedido, a causa de pedir nem o valor calculado, e a Requerida não sofre qualquer prejuízo, pois utiliza ela mesma o percentual de 23,79%.</w:t>
      </w:r>
    </w:p>
    <w:p>
      <w:pPr>
        <w:keepNext/>
        <w:spacing w:before="240" w:after="120" w:line="360" w:lineRule="auto"/>
        <w:jc w:val="left"/>
      </w:pPr>
      <w:r>
        <w:rPr>
          <w:rFonts w:ascii="Arial" w:eastAsia="Arial" w:hAnsi="Arial" w:cs="Arial"/>
          <w:b/>
          <w:color w:val="000000"/>
          <w:sz w:val="24"/>
          <w:szCs w:val="24"/>
        </w:rPr>
        <w:t xml:space="preserve">VIII — DA RESTITUIÇÃO DOS VALORES PAGOS A MAIOR</w:t>
      </w:r>
    </w:p>
    <w:p>
      <w:pPr>
        <w:spacing w:before="0" w:after="120" w:line="360" w:lineRule="auto"/>
        <w:ind w:left="0" w:firstLine="1134"/>
        <w:jc w:val="both"/>
      </w:pPr>
      <w:r>
        <w:rPr>
          <w:rFonts w:ascii="Arial" w:eastAsia="Arial" w:hAnsi="Arial" w:cs="Arial"/>
          <w:color w:val="000000"/>
          <w:sz w:val="24"/>
          <w:szCs w:val="24"/>
        </w:rPr>
        <w:t xml:space="preserve">A Requerida sustenta que a restituição configuraria enriquecimento sem causa dos Autores (itens 101 a 106). O argumento é circular: pressupõe a legitimidade dos reajustes, que é exatamente o objeto da lide e que a Requerida não demonstrou. Reconhecida a abusividade, é a </w:t>
      </w:r>
      <w:r>
        <w:rPr>
          <w:rFonts w:ascii="Arial" w:eastAsia="Arial" w:hAnsi="Arial" w:cs="Arial"/>
          <w:b/>
          <w:color w:val="000000"/>
          <w:sz w:val="24"/>
          <w:szCs w:val="24"/>
        </w:rPr>
        <w:t xml:space="preserve">retenção</w:t>
      </w:r>
      <w:r>
        <w:rPr>
          <w:rFonts w:ascii="Arial" w:eastAsia="Arial" w:hAnsi="Arial" w:cs="Arial"/>
          <w:color w:val="000000"/>
          <w:sz w:val="24"/>
          <w:szCs w:val="24"/>
        </w:rPr>
        <w:t xml:space="preserve"> do valor pago a maior que configura enriquecimento sem causa </w:t>
      </w:r>
      <w:r>
        <w:rPr>
          <w:rFonts w:ascii="Arial" w:eastAsia="Arial" w:hAnsi="Arial" w:cs="Arial"/>
          <w:b/>
          <w:color w:val="000000"/>
          <w:sz w:val="24"/>
          <w:szCs w:val="24"/>
        </w:rPr>
        <w:t xml:space="preserve">da operadora</w:t>
      </w:r>
      <w:r>
        <w:rPr>
          <w:rFonts w:ascii="Arial" w:eastAsia="Arial" w:hAnsi="Arial" w:cs="Arial"/>
          <w:color w:val="000000"/>
          <w:sz w:val="24"/>
          <w:szCs w:val="24"/>
        </w:rPr>
        <w:t xml:space="preserve"> (art. 884 do Código Civil), impondo-se a restituição, observado o triênio anterior ao ajuizamento. A correção monetária e os juros observarão a Lei 14.905/2024, nos termos da inicial (item V.7).</w:t>
      </w:r>
    </w:p>
    <w:p>
      <w:pPr>
        <w:keepNext/>
        <w:spacing w:before="240" w:after="120" w:line="360" w:lineRule="auto"/>
        <w:jc w:val="left"/>
      </w:pPr>
      <w:r>
        <w:rPr>
          <w:rFonts w:ascii="Arial" w:eastAsia="Arial" w:hAnsi="Arial" w:cs="Arial"/>
          <w:b/>
          <w:color w:val="000000"/>
          <w:sz w:val="24"/>
          <w:szCs w:val="24"/>
        </w:rPr>
        <w:t xml:space="preserve">IX — DO PEDIDO DE REEXAME DA TUTELA PROVISÓRIA DE URGÊNCIA</w:t>
      </w:r>
    </w:p>
    <w:p>
      <w:pPr>
        <w:spacing w:before="0" w:after="120" w:line="360" w:lineRule="auto"/>
        <w:ind w:left="0" w:firstLine="1134"/>
        <w:jc w:val="both"/>
      </w:pPr>
      <w:r>
        <w:rPr>
          <w:rFonts w:ascii="Arial" w:eastAsia="Arial" w:hAnsi="Arial" w:cs="Arial"/>
          <w:color w:val="000000"/>
          <w:sz w:val="24"/>
          <w:szCs w:val="24"/>
        </w:rPr>
        <w:t xml:space="preserve">A decisão de 01/09/2026 indeferiu a tutela por considerar que (i) os reajustes impugnados remontam a novembro de 2021, sem urgência diante do tempo decorrido, e (ii) os fatos reclamavam contraditório. Instaurado o contraditório, </w:t>
      </w:r>
      <w:r>
        <w:rPr>
          <w:rFonts w:ascii="Arial" w:eastAsia="Arial" w:hAnsi="Arial" w:cs="Arial"/>
          <w:b/>
          <w:color w:val="000000"/>
          <w:sz w:val="24"/>
          <w:szCs w:val="24"/>
        </w:rPr>
        <w:t xml:space="preserve">os fatos nucleares restaram confirmados pela própria Requerida</w:t>
      </w:r>
      <w:r>
        <w:rPr>
          <w:rFonts w:ascii="Arial" w:eastAsia="Arial" w:hAnsi="Arial" w:cs="Arial"/>
          <w:color w:val="000000"/>
          <w:sz w:val="24"/>
          <w:szCs w:val="24"/>
        </w:rPr>
        <w:t xml:space="preserve"> (77,00% aos 59 anos; composição dos reajustes com predominância de sinistralidade; contrato de “Seguro para Pequenos Grupos”), e </w:t>
      </w:r>
      <w:r>
        <w:rPr>
          <w:rFonts w:ascii="Arial" w:eastAsia="Arial" w:hAnsi="Arial" w:cs="Arial"/>
          <w:b/>
          <w:color w:val="000000"/>
          <w:sz w:val="24"/>
          <w:szCs w:val="24"/>
        </w:rPr>
        <w:t xml:space="preserve">sem que a contestação aponte prova do lastro técnico</w:t>
      </w:r>
      <w:r>
        <w:rPr>
          <w:rFonts w:ascii="Arial" w:eastAsia="Arial" w:hAnsi="Arial" w:cs="Arial"/>
          <w:color w:val="000000"/>
          <w:sz w:val="24"/>
          <w:szCs w:val="24"/>
        </w:rPr>
        <w:t xml:space="preserve"> dos percentuais. Sobrevieram, ainda, o parecer do Assistente Técnico (Doc. 12), documento novo cuja relevância é inequívoca para a probabilidade do direito (art. 300 do CPC).</w:t>
      </w:r>
    </w:p>
    <w:p>
      <w:pPr>
        <w:spacing w:before="0" w:after="120" w:line="360" w:lineRule="auto"/>
        <w:ind w:left="0" w:firstLine="1134"/>
        <w:jc w:val="both"/>
      </w:pPr>
      <w:r>
        <w:rPr>
          <w:rFonts w:ascii="Arial" w:eastAsia="Arial" w:hAnsi="Arial" w:cs="Arial"/>
          <w:color w:val="000000"/>
          <w:sz w:val="24"/>
          <w:szCs w:val="24"/>
        </w:rPr>
        <w:t xml:space="preserve">No tocante ao perigo de dano, a relação é de </w:t>
      </w:r>
      <w:r>
        <w:rPr>
          <w:rFonts w:ascii="Arial" w:eastAsia="Arial" w:hAnsi="Arial" w:cs="Arial"/>
          <w:b/>
          <w:color w:val="000000"/>
          <w:sz w:val="24"/>
          <w:szCs w:val="24"/>
        </w:rPr>
        <w:t xml:space="preserve">trato sucessivo</w:t>
      </w:r>
      <w:r>
        <w:rPr>
          <w:rFonts w:ascii="Arial" w:eastAsia="Arial" w:hAnsi="Arial" w:cs="Arial"/>
          <w:color w:val="000000"/>
          <w:sz w:val="24"/>
          <w:szCs w:val="24"/>
        </w:rPr>
        <w:t xml:space="preserve">: a cada competência vence nova parcela calculada sobre a base impugnada (R$ 8.801,90 mensais, contra R$ 4.686,30 ou, no cenário mais conservador, R$ 5.067,77), de modo que o dano se renova mensalmente e não se esgota no tempo decorrido desde os primeiros reajustes. O último reajuste (novembro/2025) é recente, e </w:t>
      </w:r>
      <w:r>
        <w:rPr>
          <w:rFonts w:ascii="Arial" w:eastAsia="Arial" w:hAnsi="Arial" w:cs="Arial"/>
          <w:b/>
          <w:color w:val="000000"/>
          <w:sz w:val="24"/>
          <w:szCs w:val="24"/>
        </w:rPr>
        <w:t xml:space="preserve">novo reajuste anual se aproxima</w:t>
      </w:r>
      <w:r>
        <w:rPr>
          <w:rFonts w:ascii="Arial" w:eastAsia="Arial" w:hAnsi="Arial" w:cs="Arial"/>
          <w:color w:val="000000"/>
          <w:sz w:val="24"/>
          <w:szCs w:val="24"/>
        </w:rPr>
        <w:t xml:space="preserve">, já que o aniversário da apólice é novembro (inicial, item IV.1). Persiste, ademais, o risco de inadimplemento e de perda da cobertura de família que inclui </w:t>
      </w:r>
      <w:r>
        <w:rPr>
          <w:rFonts w:ascii="Arial" w:eastAsia="Arial" w:hAnsi="Arial" w:cs="Arial"/>
          <w:b/>
          <w:color w:val="000000"/>
          <w:sz w:val="24"/>
          <w:szCs w:val="24"/>
        </w:rPr>
        <w:t xml:space="preserve">pessoa idosa</w:t>
      </w:r>
      <w:r>
        <w:rPr>
          <w:rFonts w:ascii="Arial" w:eastAsia="Arial" w:hAnsi="Arial" w:cs="Arial"/>
          <w:color w:val="000000"/>
          <w:sz w:val="24"/>
          <w:szCs w:val="24"/>
        </w:rPr>
        <w:t xml:space="preserve">, e a medida é reversível, pois eventual diferença poderá ser exigida ao final.</w:t>
      </w:r>
    </w:p>
    <w:p>
      <w:pPr>
        <w:spacing w:before="0" w:after="120" w:line="360" w:lineRule="auto"/>
        <w:ind w:left="0" w:firstLine="1134"/>
        <w:jc w:val="both"/>
      </w:pPr>
      <w:r>
        <w:rPr>
          <w:rFonts w:ascii="Arial" w:eastAsia="Arial" w:hAnsi="Arial" w:cs="Arial"/>
          <w:color w:val="000000"/>
          <w:sz w:val="24"/>
          <w:szCs w:val="24"/>
        </w:rPr>
        <w:t xml:space="preserve">Requer-se, assim, o reexame da tutela, para a fixação provisória da mensalidade em </w:t>
      </w:r>
      <w:r>
        <w:rPr>
          <w:rFonts w:ascii="Arial" w:eastAsia="Arial" w:hAnsi="Arial" w:cs="Arial"/>
          <w:b/>
          <w:color w:val="000000"/>
          <w:sz w:val="24"/>
          <w:szCs w:val="24"/>
        </w:rPr>
        <w:t xml:space="preserve">R$ 4.686,30</w:t>
      </w:r>
      <w:r>
        <w:rPr>
          <w:rFonts w:ascii="Arial" w:eastAsia="Arial" w:hAnsi="Arial" w:cs="Arial"/>
          <w:color w:val="000000"/>
          <w:sz w:val="24"/>
          <w:szCs w:val="24"/>
        </w:rPr>
        <w:t xml:space="preserve"> ou, subsidiariamente, no valor de </w:t>
      </w:r>
      <w:r>
        <w:rPr>
          <w:rFonts w:ascii="Arial" w:eastAsia="Arial" w:hAnsi="Arial" w:cs="Arial"/>
          <w:b/>
          <w:color w:val="000000"/>
          <w:sz w:val="24"/>
          <w:szCs w:val="24"/>
        </w:rPr>
        <w:t xml:space="preserve">R$ 5.067,77</w:t>
      </w:r>
      <w:r>
        <w:rPr>
          <w:rFonts w:ascii="Arial" w:eastAsia="Arial" w:hAnsi="Arial" w:cs="Arial"/>
          <w:color w:val="000000"/>
          <w:sz w:val="24"/>
          <w:szCs w:val="24"/>
        </w:rPr>
        <w:t xml:space="preserve"> apurado pelo Assistente Técnico, com as vedações já postuladas (item VI da inicial).</w:t>
      </w:r>
    </w:p>
    <w:p>
      <w:pPr>
        <w:keepNext/>
        <w:spacing w:before="240" w:after="120" w:line="360" w:lineRule="auto"/>
        <w:jc w:val="left"/>
      </w:pPr>
      <w:r>
        <w:rPr>
          <w:rFonts w:ascii="Arial" w:eastAsia="Arial" w:hAnsi="Arial" w:cs="Arial"/>
          <w:b/>
          <w:color w:val="000000"/>
          <w:sz w:val="24"/>
          <w:szCs w:val="24"/>
        </w:rPr>
        <w:t xml:space="preserve">X — DAS PROVAS E DO JULGAMENTO ANTECIPADO DO MÉRITO</w:t>
      </w:r>
    </w:p>
    <w:p>
      <w:pPr>
        <w:spacing w:before="0" w:after="120" w:line="360" w:lineRule="auto"/>
        <w:ind w:left="0" w:firstLine="1134"/>
        <w:jc w:val="both"/>
      </w:pPr>
      <w:r>
        <w:rPr>
          <w:rFonts w:ascii="Arial" w:eastAsia="Arial" w:hAnsi="Arial" w:cs="Arial"/>
          <w:color w:val="000000"/>
          <w:sz w:val="24"/>
          <w:szCs w:val="24"/>
        </w:rPr>
        <w:t xml:space="preserve">Os Autores, que haviam protestado na inicial por prova pericial atuarial, </w:t>
      </w:r>
      <w:r>
        <w:rPr>
          <w:rFonts w:ascii="Arial" w:eastAsia="Arial" w:hAnsi="Arial" w:cs="Arial"/>
          <w:b/>
          <w:color w:val="000000"/>
          <w:sz w:val="24"/>
          <w:szCs w:val="24"/>
        </w:rPr>
        <w:t xml:space="preserve">dispensam a sua produção</w:t>
      </w:r>
      <w:r>
        <w:rPr>
          <w:rFonts w:ascii="Arial" w:eastAsia="Arial" w:hAnsi="Arial" w:cs="Arial"/>
          <w:color w:val="000000"/>
          <w:sz w:val="24"/>
          <w:szCs w:val="24"/>
        </w:rPr>
        <w:t xml:space="preserve">. A causa comporta julgamento antecipado do mérito (art. 355, I, do CPC): a natureza de falso coletivo decorre de fatos documentais e incontroversos, e a consequência jurídica, a aplicação dos índices da ANS para planos individuais e familiares, é questão de direito, de orientação reiterada no Superior Tribunal de Justiça. O valor devido resulta de operação aritmética, a ser realizada em liquidação.</w:t>
      </w:r>
    </w:p>
    <w:p>
      <w:pPr>
        <w:spacing w:before="0" w:after="120" w:line="360" w:lineRule="auto"/>
        <w:ind w:left="0" w:firstLine="1134"/>
        <w:jc w:val="both"/>
      </w:pPr>
      <w:r>
        <w:rPr>
          <w:rFonts w:ascii="Arial" w:eastAsia="Arial" w:hAnsi="Arial" w:cs="Arial"/>
          <w:color w:val="000000"/>
          <w:sz w:val="24"/>
          <w:szCs w:val="24"/>
        </w:rPr>
        <w:t xml:space="preserve">Subsidiariamente, caso Vossa Excelência entenda necessário perquirir o lastro técnico dos percentuais impostos pela Requerida, reiteram o pedido de </w:t>
      </w:r>
      <w:r>
        <w:rPr>
          <w:rFonts w:ascii="Arial" w:eastAsia="Arial" w:hAnsi="Arial" w:cs="Arial"/>
          <w:b/>
          <w:color w:val="000000"/>
          <w:sz w:val="24"/>
          <w:szCs w:val="24"/>
        </w:rPr>
        <w:t xml:space="preserve">inversão do ônus da prova</w:t>
      </w:r>
      <w:r>
        <w:rPr>
          <w:rFonts w:ascii="Arial" w:eastAsia="Arial" w:hAnsi="Arial" w:cs="Arial"/>
          <w:color w:val="000000"/>
          <w:sz w:val="24"/>
          <w:szCs w:val="24"/>
        </w:rPr>
        <w:t xml:space="preserve"> e requerem, nos termos dos arts. 396 e seguintes do CPC, a intimação da Requerida para exibir, no prazo que lhe for assinalado: </w:t>
      </w:r>
      <w:r>
        <w:rPr>
          <w:rFonts w:ascii="Arial" w:eastAsia="Arial" w:hAnsi="Arial" w:cs="Arial"/>
          <w:b/>
          <w:color w:val="000000"/>
          <w:sz w:val="24"/>
          <w:szCs w:val="24"/>
        </w:rPr>
        <w:t xml:space="preserve">(a)</w:t>
      </w:r>
      <w:r>
        <w:rPr>
          <w:rFonts w:ascii="Arial" w:eastAsia="Arial" w:hAnsi="Arial" w:cs="Arial"/>
          <w:color w:val="000000"/>
          <w:sz w:val="24"/>
          <w:szCs w:val="24"/>
        </w:rPr>
        <w:t xml:space="preserve"> a Nota Técnica Atuarial do produto registrada na ANS; </w:t>
      </w:r>
      <w:r>
        <w:rPr>
          <w:rFonts w:ascii="Arial" w:eastAsia="Arial" w:hAnsi="Arial" w:cs="Arial"/>
          <w:b/>
          <w:color w:val="000000"/>
          <w:sz w:val="24"/>
          <w:szCs w:val="24"/>
        </w:rPr>
        <w:t xml:space="preserve">(b)</w:t>
      </w:r>
      <w:r>
        <w:rPr>
          <w:rFonts w:ascii="Arial" w:eastAsia="Arial" w:hAnsi="Arial" w:cs="Arial"/>
          <w:color w:val="000000"/>
          <w:sz w:val="24"/>
          <w:szCs w:val="24"/>
        </w:rPr>
        <w:t xml:space="preserve"> a memória de cálculo da sinistralidade de cada data-base de 2021 a 2025, com despesas assistenciais e receitas de contraprestações dos respectivos períodos de doze meses; </w:t>
      </w:r>
      <w:r>
        <w:rPr>
          <w:rFonts w:ascii="Arial" w:eastAsia="Arial" w:hAnsi="Arial" w:cs="Arial"/>
          <w:b/>
          <w:color w:val="000000"/>
          <w:sz w:val="24"/>
          <w:szCs w:val="24"/>
        </w:rPr>
        <w:t xml:space="preserve">(c)</w:t>
      </w:r>
      <w:r>
        <w:rPr>
          <w:rFonts w:ascii="Arial" w:eastAsia="Arial" w:hAnsi="Arial" w:cs="Arial"/>
          <w:color w:val="000000"/>
          <w:sz w:val="24"/>
          <w:szCs w:val="24"/>
        </w:rPr>
        <w:t xml:space="preserve"> a memória de cálculo do VCMH informado em cada ciclo; </w:t>
      </w:r>
      <w:r>
        <w:rPr>
          <w:rFonts w:ascii="Arial" w:eastAsia="Arial" w:hAnsi="Arial" w:cs="Arial"/>
          <w:b/>
          <w:color w:val="000000"/>
          <w:sz w:val="24"/>
          <w:szCs w:val="24"/>
        </w:rPr>
        <w:t xml:space="preserve">(d)</w:t>
      </w:r>
      <w:r>
        <w:rPr>
          <w:rFonts w:ascii="Arial" w:eastAsia="Arial" w:hAnsi="Arial" w:cs="Arial"/>
          <w:color w:val="000000"/>
          <w:sz w:val="24"/>
          <w:szCs w:val="24"/>
        </w:rPr>
        <w:t xml:space="preserve"> o relatório do agrupamento de contratos previsto na RN ANS nº 565/2022, com o pool de risco, o número de vidas e o percentual único calculado em cada data-base; e </w:t>
      </w:r>
      <w:r>
        <w:rPr>
          <w:rFonts w:ascii="Arial" w:eastAsia="Arial" w:hAnsi="Arial" w:cs="Arial"/>
          <w:b/>
          <w:color w:val="000000"/>
          <w:sz w:val="24"/>
          <w:szCs w:val="24"/>
        </w:rPr>
        <w:t xml:space="preserve">(e)</w:t>
      </w:r>
      <w:r>
        <w:rPr>
          <w:rFonts w:ascii="Arial" w:eastAsia="Arial" w:hAnsi="Arial" w:cs="Arial"/>
          <w:color w:val="000000"/>
          <w:sz w:val="24"/>
          <w:szCs w:val="24"/>
        </w:rPr>
        <w:t xml:space="preserve"> o estudo atuarial que fundamentou o reajuste de 77,00% por mudança de faixa etária. A omissão ensejará a presunção de veracidade dos fatos que os Autores pretendem provar com tais documentos (art. 400 do CPC).</w:t>
      </w:r>
    </w:p>
    <w:p>
      <w:pPr>
        <w:keepNext/>
        <w:spacing w:before="240" w:after="120" w:line="360" w:lineRule="auto"/>
        <w:jc w:val="left"/>
      </w:pPr>
      <w:r>
        <w:rPr>
          <w:rFonts w:ascii="Arial" w:eastAsia="Arial" w:hAnsi="Arial" w:cs="Arial"/>
          <w:b/>
          <w:color w:val="000000"/>
          <w:sz w:val="24"/>
          <w:szCs w:val="24"/>
        </w:rPr>
        <w:t xml:space="preserve">XI — DOS PEDIDOS</w:t>
      </w:r>
    </w:p>
    <w:p>
      <w:pPr>
        <w:spacing w:before="0" w:after="120" w:line="360" w:lineRule="auto"/>
        <w:ind w:left="0" w:firstLine="1134"/>
        <w:jc w:val="both"/>
      </w:pPr>
      <w:r>
        <w:rPr>
          <w:rFonts w:ascii="Arial" w:eastAsia="Arial" w:hAnsi="Arial" w:cs="Arial"/>
          <w:color w:val="000000"/>
          <w:sz w:val="24"/>
          <w:szCs w:val="24"/>
        </w:rPr>
        <w:t xml:space="preserve">Ante o exposto, requerem os Autores:</w:t>
      </w:r>
    </w:p>
    <w:p>
      <w:pPr>
        <w:tabs>
          <w:tab w:val="left" w:pos="709"/>
        </w:tabs>
        <w:spacing w:before="0" w:after="100" w:line="360" w:lineRule="auto"/>
        <w:ind w:left="709" w:hanging="709"/>
        <w:jc w:val="both"/>
      </w:pPr>
      <w:r>
        <w:rPr>
          <w:rFonts w:ascii="Arial" w:eastAsia="Arial" w:hAnsi="Arial" w:cs="Arial"/>
          <w:color w:val="000000"/>
          <w:sz w:val="24"/>
          <w:szCs w:val="24"/>
        </w:rPr>
        <w:t xml:space="preserve">1)</w:t>
      </w:r>
      <w:r>
        <w:rPr>
          <w:rFonts w:ascii="Arial" w:eastAsia="Arial" w:hAnsi="Arial" w:cs="Arial"/>
          <w:color w:val="000000"/>
          <w:sz w:val="24"/>
          <w:szCs w:val="24"/>
        </w:rPr>
        <w:tab/>
      </w:r>
      <w:r>
        <w:rPr>
          <w:rFonts w:ascii="Arial" w:eastAsia="Arial" w:hAnsi="Arial" w:cs="Arial"/>
          <w:color w:val="000000"/>
          <w:sz w:val="24"/>
          <w:szCs w:val="24"/>
        </w:rPr>
        <w:t xml:space="preserve">o recebimento da presente réplica e a </w:t>
      </w:r>
      <w:r>
        <w:rPr>
          <w:rFonts w:ascii="Arial" w:eastAsia="Arial" w:hAnsi="Arial" w:cs="Arial"/>
          <w:b/>
          <w:color w:val="000000"/>
          <w:sz w:val="24"/>
          <w:szCs w:val="24"/>
        </w:rPr>
        <w:t xml:space="preserve">juntada do Parecer Técnico do Assistente Técnico (Doc. 12)</w:t>
      </w:r>
      <w:r>
        <w:rPr>
          <w:rFonts w:ascii="Arial" w:eastAsia="Arial" w:hAnsi="Arial" w:cs="Arial"/>
          <w:color w:val="000000"/>
          <w:sz w:val="24"/>
          <w:szCs w:val="24"/>
        </w:rPr>
        <w:t xml:space="preserve">, com a posterior intimação da Requerida para manifestação (art. 437, § 1º, do CPC);</w:t>
      </w:r>
    </w:p>
    <w:p>
      <w:pPr>
        <w:tabs>
          <w:tab w:val="left" w:pos="709"/>
        </w:tabs>
        <w:spacing w:before="0" w:after="100" w:line="360" w:lineRule="auto"/>
        <w:ind w:left="709" w:hanging="709"/>
        <w:jc w:val="both"/>
      </w:pPr>
      <w:r>
        <w:rPr>
          <w:rFonts w:ascii="Arial" w:eastAsia="Arial" w:hAnsi="Arial" w:cs="Arial"/>
          <w:color w:val="000000"/>
          <w:sz w:val="24"/>
          <w:szCs w:val="24"/>
        </w:rPr>
        <w:t xml:space="preserve">2)</w:t>
      </w:r>
      <w:r>
        <w:rPr>
          <w:rFonts w:ascii="Arial" w:eastAsia="Arial" w:hAnsi="Arial" w:cs="Arial"/>
          <w:color w:val="000000"/>
          <w:sz w:val="24"/>
          <w:szCs w:val="24"/>
        </w:rPr>
        <w:tab/>
      </w:r>
      <w:r>
        <w:rPr>
          <w:rFonts w:ascii="Arial" w:eastAsia="Arial" w:hAnsi="Arial" w:cs="Arial"/>
          <w:color w:val="000000"/>
          <w:sz w:val="24"/>
          <w:szCs w:val="24"/>
        </w:rPr>
        <w:t xml:space="preserve">a </w:t>
      </w:r>
      <w:r>
        <w:rPr>
          <w:rFonts w:ascii="Arial" w:eastAsia="Arial" w:hAnsi="Arial" w:cs="Arial"/>
          <w:b/>
          <w:color w:val="000000"/>
          <w:sz w:val="24"/>
          <w:szCs w:val="24"/>
        </w:rPr>
        <w:t xml:space="preserve">rejeição da prejudicial de prescrição</w:t>
      </w:r>
      <w:r>
        <w:rPr>
          <w:rFonts w:ascii="Arial" w:eastAsia="Arial" w:hAnsi="Arial" w:cs="Arial"/>
          <w:color w:val="000000"/>
          <w:sz w:val="24"/>
          <w:szCs w:val="24"/>
        </w:rPr>
        <w:t xml:space="preserve"> (art. 206, § 1º, II, do Código Civil), reconhecendo-se a prescrição trienal da pretensão de repetição, já observada no pedido, e a possibilidade de revisão do contrato vigente (Tema 610/STJ);</w:t>
      </w:r>
    </w:p>
    <w:p>
      <w:pPr>
        <w:tabs>
          <w:tab w:val="left" w:pos="709"/>
        </w:tabs>
        <w:spacing w:before="0" w:after="100" w:line="360" w:lineRule="auto"/>
        <w:ind w:left="709" w:hanging="709"/>
        <w:jc w:val="both"/>
      </w:pPr>
      <w:r>
        <w:rPr>
          <w:rFonts w:ascii="Arial" w:eastAsia="Arial" w:hAnsi="Arial" w:cs="Arial"/>
          <w:color w:val="000000"/>
          <w:sz w:val="24"/>
          <w:szCs w:val="24"/>
        </w:rPr>
        <w:t xml:space="preserve">3)</w:t>
      </w:r>
      <w:r>
        <w:rPr>
          <w:rFonts w:ascii="Arial" w:eastAsia="Arial" w:hAnsi="Arial" w:cs="Arial"/>
          <w:color w:val="000000"/>
          <w:sz w:val="24"/>
          <w:szCs w:val="24"/>
        </w:rPr>
        <w:tab/>
      </w:r>
      <w:r>
        <w:rPr>
          <w:rFonts w:ascii="Arial" w:eastAsia="Arial" w:hAnsi="Arial" w:cs="Arial"/>
          <w:color w:val="000000"/>
          <w:sz w:val="24"/>
          <w:szCs w:val="24"/>
        </w:rPr>
        <w:t xml:space="preserve">o </w:t>
      </w:r>
      <w:r>
        <w:rPr>
          <w:rFonts w:ascii="Arial" w:eastAsia="Arial" w:hAnsi="Arial" w:cs="Arial"/>
          <w:b/>
          <w:color w:val="000000"/>
          <w:sz w:val="24"/>
          <w:szCs w:val="24"/>
        </w:rPr>
        <w:t xml:space="preserve">afastamento das alegações</w:t>
      </w:r>
      <w:r>
        <w:rPr>
          <w:rFonts w:ascii="Arial" w:eastAsia="Arial" w:hAnsi="Arial" w:cs="Arial"/>
          <w:color w:val="000000"/>
          <w:sz w:val="24"/>
          <w:szCs w:val="24"/>
        </w:rPr>
        <w:t xml:space="preserve"> de </w:t>
      </w:r>
      <w:r>
        <w:rPr>
          <w:rFonts w:ascii="Arial" w:eastAsia="Arial" w:hAnsi="Arial" w:cs="Arial"/>
          <w:i/>
          <w:color w:val="000000"/>
          <w:sz w:val="24"/>
          <w:szCs w:val="24"/>
        </w:rPr>
        <w:t xml:space="preserve">venire contra factum proprium</w:t>
      </w:r>
      <w:r>
        <w:rPr>
          <w:rFonts w:ascii="Arial" w:eastAsia="Arial" w:hAnsi="Arial" w:cs="Arial"/>
          <w:color w:val="000000"/>
          <w:sz w:val="24"/>
          <w:szCs w:val="24"/>
        </w:rPr>
        <w:t xml:space="preserve"> e de “pedido impossível”, por não haver pedido de oferta de plano individual e pelas razões expostas nos itens III e IV;</w:t>
      </w:r>
    </w:p>
    <w:p>
      <w:pPr>
        <w:tabs>
          <w:tab w:val="left" w:pos="709"/>
        </w:tabs>
        <w:spacing w:before="0" w:after="100" w:line="360" w:lineRule="auto"/>
        <w:ind w:left="709" w:hanging="709"/>
        <w:jc w:val="both"/>
      </w:pPr>
      <w:r>
        <w:rPr>
          <w:rFonts w:ascii="Arial" w:eastAsia="Arial" w:hAnsi="Arial" w:cs="Arial"/>
          <w:color w:val="000000"/>
          <w:sz w:val="24"/>
          <w:szCs w:val="24"/>
        </w:rPr>
        <w:t xml:space="preserve">4)</w:t>
      </w:r>
      <w:r>
        <w:rPr>
          <w:rFonts w:ascii="Arial" w:eastAsia="Arial" w:hAnsi="Arial" w:cs="Arial"/>
          <w:color w:val="000000"/>
          <w:sz w:val="24"/>
          <w:szCs w:val="24"/>
        </w:rPr>
        <w:tab/>
      </w:r>
      <w:r>
        <w:rPr>
          <w:rFonts w:ascii="Arial" w:eastAsia="Arial" w:hAnsi="Arial" w:cs="Arial"/>
          <w:color w:val="000000"/>
          <w:sz w:val="24"/>
          <w:szCs w:val="24"/>
        </w:rPr>
        <w:t xml:space="preserve">o </w:t>
      </w:r>
      <w:r>
        <w:rPr>
          <w:rFonts w:ascii="Arial" w:eastAsia="Arial" w:hAnsi="Arial" w:cs="Arial"/>
          <w:b/>
          <w:color w:val="000000"/>
          <w:sz w:val="24"/>
          <w:szCs w:val="24"/>
        </w:rPr>
        <w:t xml:space="preserve">reexame da tutela provisória de urgência</w:t>
      </w:r>
      <w:r>
        <w:rPr>
          <w:rFonts w:ascii="Arial" w:eastAsia="Arial" w:hAnsi="Arial" w:cs="Arial"/>
          <w:color w:val="000000"/>
          <w:sz w:val="24"/>
          <w:szCs w:val="24"/>
        </w:rPr>
        <w:t xml:space="preserve">, fixando-se a mensalidade provisória em </w:t>
      </w:r>
      <w:r>
        <w:rPr>
          <w:rFonts w:ascii="Arial" w:eastAsia="Arial" w:hAnsi="Arial" w:cs="Arial"/>
          <w:b/>
          <w:color w:val="000000"/>
          <w:sz w:val="24"/>
          <w:szCs w:val="24"/>
        </w:rPr>
        <w:t xml:space="preserve">R$ 4.686,30</w:t>
      </w:r>
      <w:r>
        <w:rPr>
          <w:rFonts w:ascii="Arial" w:eastAsia="Arial" w:hAnsi="Arial" w:cs="Arial"/>
          <w:color w:val="000000"/>
          <w:sz w:val="24"/>
          <w:szCs w:val="24"/>
        </w:rPr>
        <w:t xml:space="preserve"> ou, subsidiariamente, em </w:t>
      </w:r>
      <w:r>
        <w:rPr>
          <w:rFonts w:ascii="Arial" w:eastAsia="Arial" w:hAnsi="Arial" w:cs="Arial"/>
          <w:b/>
          <w:color w:val="000000"/>
          <w:sz w:val="24"/>
          <w:szCs w:val="24"/>
        </w:rPr>
        <w:t xml:space="preserve">R$ 5.067,77</w:t>
      </w:r>
      <w:r>
        <w:rPr>
          <w:rFonts w:ascii="Arial" w:eastAsia="Arial" w:hAnsi="Arial" w:cs="Arial"/>
          <w:color w:val="000000"/>
          <w:sz w:val="24"/>
          <w:szCs w:val="24"/>
        </w:rPr>
        <w:t xml:space="preserve">, e deferindo-se as vedações de rescisão unilateral imotivada, de negativa de cobertura e de negativação, já postuladas na inicial;</w:t>
      </w:r>
    </w:p>
    <w:p>
      <w:pPr>
        <w:tabs>
          <w:tab w:val="left" w:pos="709"/>
        </w:tabs>
        <w:spacing w:before="0" w:after="100" w:line="360" w:lineRule="auto"/>
        <w:ind w:left="709" w:hanging="709"/>
        <w:jc w:val="both"/>
      </w:pPr>
      <w:r>
        <w:rPr>
          <w:rFonts w:ascii="Arial" w:eastAsia="Arial" w:hAnsi="Arial" w:cs="Arial"/>
          <w:color w:val="000000"/>
          <w:sz w:val="24"/>
          <w:szCs w:val="24"/>
        </w:rPr>
        <w:t xml:space="preserve">5)</w:t>
      </w:r>
      <w:r>
        <w:rPr>
          <w:rFonts w:ascii="Arial" w:eastAsia="Arial" w:hAnsi="Arial" w:cs="Arial"/>
          <w:color w:val="000000"/>
          <w:sz w:val="24"/>
          <w:szCs w:val="24"/>
        </w:rPr>
        <w:tab/>
      </w:r>
      <w:r>
        <w:rPr>
          <w:rFonts w:ascii="Arial" w:eastAsia="Arial" w:hAnsi="Arial" w:cs="Arial"/>
          <w:color w:val="000000"/>
          <w:sz w:val="24"/>
          <w:szCs w:val="24"/>
        </w:rPr>
        <w:t xml:space="preserve">subsidiariamente, caso entenda necessário aferir o lastro dos percentuais, a </w:t>
      </w:r>
      <w:r>
        <w:rPr>
          <w:rFonts w:ascii="Arial" w:eastAsia="Arial" w:hAnsi="Arial" w:cs="Arial"/>
          <w:b/>
          <w:color w:val="000000"/>
          <w:sz w:val="24"/>
          <w:szCs w:val="24"/>
        </w:rPr>
        <w:t xml:space="preserve">inversão do ônus da prova</w:t>
      </w:r>
      <w:r>
        <w:rPr>
          <w:rFonts w:ascii="Arial" w:eastAsia="Arial" w:hAnsi="Arial" w:cs="Arial"/>
          <w:color w:val="000000"/>
          <w:sz w:val="24"/>
          <w:szCs w:val="24"/>
        </w:rPr>
        <w:t xml:space="preserve"> (CDC, art. 6º, VIII; CPC, art. 373, § 1º) e a </w:t>
      </w:r>
      <w:r>
        <w:rPr>
          <w:rFonts w:ascii="Arial" w:eastAsia="Arial" w:hAnsi="Arial" w:cs="Arial"/>
          <w:b/>
          <w:color w:val="000000"/>
          <w:sz w:val="24"/>
          <w:szCs w:val="24"/>
        </w:rPr>
        <w:t xml:space="preserve">intimação da Requerida para exibir os documentos</w:t>
      </w:r>
      <w:r>
        <w:rPr>
          <w:rFonts w:ascii="Arial" w:eastAsia="Arial" w:hAnsi="Arial" w:cs="Arial"/>
          <w:color w:val="000000"/>
          <w:sz w:val="24"/>
          <w:szCs w:val="24"/>
        </w:rPr>
        <w:t xml:space="preserve"> indicados no item X, sob as consequências do art. 400 do CPC;</w:t>
      </w:r>
    </w:p>
    <w:p>
      <w:pPr>
        <w:tabs>
          <w:tab w:val="left" w:pos="709"/>
        </w:tabs>
        <w:spacing w:before="0" w:after="100" w:line="360" w:lineRule="auto"/>
        <w:ind w:left="709" w:hanging="709"/>
        <w:jc w:val="both"/>
      </w:pPr>
      <w:r>
        <w:rPr>
          <w:rFonts w:ascii="Arial" w:eastAsia="Arial" w:hAnsi="Arial" w:cs="Arial"/>
          <w:color w:val="000000"/>
          <w:sz w:val="24"/>
          <w:szCs w:val="24"/>
        </w:rPr>
        <w:t xml:space="preserve">6)</w:t>
      </w:r>
      <w:r>
        <w:rPr>
          <w:rFonts w:ascii="Arial" w:eastAsia="Arial" w:hAnsi="Arial" w:cs="Arial"/>
          <w:color w:val="000000"/>
          <w:sz w:val="24"/>
          <w:szCs w:val="24"/>
        </w:rPr>
        <w:tab/>
      </w:r>
      <w:r>
        <w:rPr>
          <w:rFonts w:ascii="Arial" w:eastAsia="Arial" w:hAnsi="Arial" w:cs="Arial"/>
          <w:color w:val="000000"/>
          <w:sz w:val="24"/>
          <w:szCs w:val="24"/>
        </w:rPr>
        <w:t xml:space="preserve">o </w:t>
      </w:r>
      <w:r>
        <w:rPr>
          <w:rFonts w:ascii="Arial" w:eastAsia="Arial" w:hAnsi="Arial" w:cs="Arial"/>
          <w:b/>
          <w:color w:val="000000"/>
          <w:sz w:val="24"/>
          <w:szCs w:val="24"/>
        </w:rPr>
        <w:t xml:space="preserve">julgamento antecipado do mérito</w:t>
      </w:r>
      <w:r>
        <w:rPr>
          <w:rFonts w:ascii="Arial" w:eastAsia="Arial" w:hAnsi="Arial" w:cs="Arial"/>
          <w:color w:val="000000"/>
          <w:sz w:val="24"/>
          <w:szCs w:val="24"/>
        </w:rPr>
        <w:t xml:space="preserve"> (art. 355, I, do CPC), dispensada a produção de prova pericial;</w:t>
      </w:r>
    </w:p>
    <w:p>
      <w:pPr>
        <w:tabs>
          <w:tab w:val="left" w:pos="709"/>
        </w:tabs>
        <w:spacing w:before="0" w:after="100" w:line="360" w:lineRule="auto"/>
        <w:ind w:left="709" w:hanging="709"/>
        <w:jc w:val="both"/>
      </w:pPr>
      <w:r>
        <w:rPr>
          <w:rFonts w:ascii="Arial" w:eastAsia="Arial" w:hAnsi="Arial" w:cs="Arial"/>
          <w:color w:val="000000"/>
          <w:sz w:val="24"/>
          <w:szCs w:val="24"/>
        </w:rPr>
        <w:t xml:space="preserve">7)</w:t>
      </w:r>
      <w:r>
        <w:rPr>
          <w:rFonts w:ascii="Arial" w:eastAsia="Arial" w:hAnsi="Arial" w:cs="Arial"/>
          <w:color w:val="000000"/>
          <w:sz w:val="24"/>
          <w:szCs w:val="24"/>
        </w:rPr>
        <w:tab/>
      </w:r>
      <w:r>
        <w:rPr>
          <w:rFonts w:ascii="Arial" w:eastAsia="Arial" w:hAnsi="Arial" w:cs="Arial"/>
          <w:color w:val="000000"/>
          <w:sz w:val="24"/>
          <w:szCs w:val="24"/>
        </w:rPr>
        <w:t xml:space="preserve">no mérito, a </w:t>
      </w:r>
      <w:r>
        <w:rPr>
          <w:rFonts w:ascii="Arial" w:eastAsia="Arial" w:hAnsi="Arial" w:cs="Arial"/>
          <w:b/>
          <w:color w:val="000000"/>
          <w:sz w:val="24"/>
          <w:szCs w:val="24"/>
        </w:rPr>
        <w:t xml:space="preserve">PROCEDÊNCIA INTEGRAL</w:t>
      </w:r>
      <w:r>
        <w:rPr>
          <w:rFonts w:ascii="Arial" w:eastAsia="Arial" w:hAnsi="Arial" w:cs="Arial"/>
          <w:color w:val="000000"/>
          <w:sz w:val="24"/>
          <w:szCs w:val="24"/>
        </w:rPr>
        <w:t xml:space="preserve"> dos pedidos formulados na inicial (itens “d.1” a “d.6”), com o reconhecimento da natureza de </w:t>
      </w:r>
      <w:r>
        <w:rPr>
          <w:rFonts w:ascii="Arial" w:eastAsia="Arial" w:hAnsi="Arial" w:cs="Arial"/>
          <w:b/>
          <w:color w:val="000000"/>
          <w:sz w:val="24"/>
          <w:szCs w:val="24"/>
        </w:rPr>
        <w:t xml:space="preserve">falso coletivo</w:t>
      </w:r>
      <w:r>
        <w:rPr>
          <w:rFonts w:ascii="Arial" w:eastAsia="Arial" w:hAnsi="Arial" w:cs="Arial"/>
          <w:color w:val="000000"/>
          <w:sz w:val="24"/>
          <w:szCs w:val="24"/>
        </w:rPr>
        <w:t xml:space="preserve"> da apólice nº 344349 e a aplicação, aos reajustes anuais, dos </w:t>
      </w:r>
      <w:r>
        <w:rPr>
          <w:rFonts w:ascii="Arial" w:eastAsia="Arial" w:hAnsi="Arial" w:cs="Arial"/>
          <w:b/>
          <w:color w:val="000000"/>
          <w:sz w:val="24"/>
          <w:szCs w:val="24"/>
        </w:rPr>
        <w:t xml:space="preserve">índices fixados pela ANS</w:t>
      </w:r>
      <w:r>
        <w:rPr>
          <w:rFonts w:ascii="Arial" w:eastAsia="Arial" w:hAnsi="Arial" w:cs="Arial"/>
          <w:color w:val="000000"/>
          <w:sz w:val="24"/>
          <w:szCs w:val="24"/>
        </w:rPr>
        <w:t xml:space="preserve"> para os planos individuais e familiares e, ao reajuste por faixa etária de 59 anos, do parâmetro de 41,80% do Painel de Precificação da ANS; a retificação do item “d.2” e da tabela IV.2 quanto ao reajuste de novembro/2023, que é de 23,79% (item VII.3); e a condenação da Requerida à </w:t>
      </w:r>
      <w:r>
        <w:rPr>
          <w:rFonts w:ascii="Arial" w:eastAsia="Arial" w:hAnsi="Arial" w:cs="Arial"/>
          <w:b/>
          <w:color w:val="000000"/>
          <w:sz w:val="24"/>
          <w:szCs w:val="24"/>
        </w:rPr>
        <w:t xml:space="preserve">restituição simples</w:t>
      </w:r>
      <w:r>
        <w:rPr>
          <w:rFonts w:ascii="Arial" w:eastAsia="Arial" w:hAnsi="Arial" w:cs="Arial"/>
          <w:color w:val="000000"/>
          <w:sz w:val="24"/>
          <w:szCs w:val="24"/>
        </w:rPr>
        <w:t xml:space="preserve"> dos valores pagos a maior de agosto/2023 a agosto/2026, apurados em </w:t>
      </w:r>
      <w:r>
        <w:rPr>
          <w:rFonts w:ascii="Arial" w:eastAsia="Arial" w:hAnsi="Arial" w:cs="Arial"/>
          <w:b/>
          <w:color w:val="000000"/>
          <w:sz w:val="24"/>
          <w:szCs w:val="24"/>
        </w:rPr>
        <w:t xml:space="preserve">R$ 110.108,71</w:t>
      </w:r>
      <w:r>
        <w:rPr>
          <w:rFonts w:ascii="Arial" w:eastAsia="Arial" w:hAnsi="Arial" w:cs="Arial"/>
          <w:color w:val="000000"/>
          <w:sz w:val="24"/>
          <w:szCs w:val="24"/>
        </w:rPr>
        <w:t xml:space="preserve">, a ser atualizado em liquidação, com correção monetária e juros na forma da Lei 14.905/2024; e</w:t>
      </w:r>
    </w:p>
    <w:p>
      <w:pPr>
        <w:tabs>
          <w:tab w:val="left" w:pos="709"/>
        </w:tabs>
        <w:spacing w:before="0" w:after="100" w:line="360" w:lineRule="auto"/>
        <w:ind w:left="709" w:hanging="709"/>
        <w:jc w:val="both"/>
      </w:pPr>
      <w:r>
        <w:rPr>
          <w:rFonts w:ascii="Arial" w:eastAsia="Arial" w:hAnsi="Arial" w:cs="Arial"/>
          <w:color w:val="000000"/>
          <w:sz w:val="24"/>
          <w:szCs w:val="24"/>
        </w:rPr>
        <w:t xml:space="preserve">8)</w:t>
      </w:r>
      <w:r>
        <w:rPr>
          <w:rFonts w:ascii="Arial" w:eastAsia="Arial" w:hAnsi="Arial" w:cs="Arial"/>
          <w:color w:val="000000"/>
          <w:sz w:val="24"/>
          <w:szCs w:val="24"/>
        </w:rPr>
        <w:tab/>
      </w:r>
      <w:r>
        <w:rPr>
          <w:rFonts w:ascii="Arial" w:eastAsia="Arial" w:hAnsi="Arial" w:cs="Arial"/>
          <w:color w:val="000000"/>
          <w:sz w:val="24"/>
          <w:szCs w:val="24"/>
        </w:rPr>
        <w:t xml:space="preserve">a condenação da Requerida ao pagamento das custas, despesas processuais e honorários advocatícios sucumbenciais, nos termos do art. 85, § 2º, do CPC.</w:t>
      </w:r>
    </w:p>
    <w:p>
      <w:pPr>
        <w:spacing w:before="0" w:after="120" w:line="360" w:lineRule="auto"/>
        <w:ind w:left="0" w:firstLine="1134"/>
        <w:jc w:val="both"/>
      </w:pPr>
      <w:r>
        <w:rPr>
          <w:rFonts w:ascii="Arial" w:eastAsia="Arial" w:hAnsi="Arial" w:cs="Arial"/>
          <w:color w:val="000000"/>
          <w:sz w:val="24"/>
          <w:szCs w:val="24"/>
        </w:rPr>
        <w:t xml:space="preserve">Protestam provar o alegado por todos os meios de prova em direito admitidos, em especial a documental superveniente.</w:t>
      </w:r>
    </w:p>
    <w:p>
      <w:pPr>
        <w:spacing w:before="0" w:after="120" w:line="360" w:lineRule="auto"/>
        <w:ind w:left="0" w:firstLine="1134"/>
        <w:jc w:val="both"/>
      </w:pPr>
      <w:r>
        <w:rPr>
          <w:rFonts w:ascii="Arial" w:eastAsia="Arial" w:hAnsi="Arial" w:cs="Arial"/>
          <w:color w:val="000000"/>
          <w:sz w:val="24"/>
          <w:szCs w:val="24"/>
        </w:rPr>
        <w:t xml:space="preserve">Requerem, por fim, que todas as intimações e publicações sejam realizadas exclusivamente em nome de </w:t>
      </w:r>
      <w:r>
        <w:rPr>
          <w:rFonts w:ascii="Arial" w:eastAsia="Arial" w:hAnsi="Arial" w:cs="Arial"/>
          <w:b/>
          <w:color w:val="000000"/>
          <w:sz w:val="24"/>
          <w:szCs w:val="24"/>
        </w:rPr>
        <w:t xml:space="preserve">SIMONE MURTA MARTINS, OAB/BA nº 48.851</w:t>
      </w:r>
      <w:r>
        <w:rPr>
          <w:rFonts w:ascii="Arial" w:eastAsia="Arial" w:hAnsi="Arial" w:cs="Arial"/>
          <w:color w:val="000000"/>
          <w:sz w:val="24"/>
          <w:szCs w:val="24"/>
        </w:rPr>
        <w:t xml:space="preserve">, sob pena de nulidade (art. 272, § 5º, do CPC).</w:t>
      </w:r>
    </w:p>
    <w:p>
      <w:pPr>
        <w:spacing w:before="0" w:after="60" w:line="360" w:lineRule="auto"/>
        <w:jc w:val="center"/>
      </w:pPr>
      <w:r>
        <w:rPr>
          <w:rFonts w:ascii="Arial" w:eastAsia="Arial" w:hAnsi="Arial" w:cs="Arial"/>
          <w:color w:val="000000"/>
          <w:sz w:val="24"/>
          <w:szCs w:val="24"/>
        </w:rPr>
        <w:t xml:space="preserve">Termos em que,</w:t>
      </w:r>
    </w:p>
    <w:p>
      <w:pPr>
        <w:spacing w:before="0" w:after="60" w:line="360" w:lineRule="auto"/>
        <w:jc w:val="center"/>
      </w:pPr>
      <w:r>
        <w:rPr>
          <w:rFonts w:ascii="Arial" w:eastAsia="Arial" w:hAnsi="Arial" w:cs="Arial"/>
          <w:color w:val="000000"/>
          <w:sz w:val="24"/>
          <w:szCs w:val="24"/>
        </w:rPr>
        <w:t xml:space="preserve">Pede deferimento.</w:t>
      </w:r>
    </w:p>
    <w:p>
      <w:pPr>
        <w:spacing w:before="0" w:after="60" w:line="360" w:lineRule="auto"/>
        <w:jc w:val="center"/>
      </w:pPr>
      <w:r>
        <w:rPr>
          <w:rFonts w:ascii="Arial" w:eastAsia="Arial" w:hAnsi="Arial" w:cs="Arial"/>
          <w:color w:val="000000"/>
          <w:sz w:val="24"/>
          <w:szCs w:val="24"/>
        </w:rPr>
        <w:t xml:space="preserve">Brasília/DF, 1º de outubro de 2026.</w:t>
      </w:r>
    </w:p>
    <w:p>
      <w:pPr>
        <w:spacing w:before="0" w:after="0" w:line="240" w:lineRule="auto"/>
        <w:jc w:val="both"/>
      </w:pPr>
    </w:p>
    <w:p>
      <w:pPr>
        <w:spacing w:before="0" w:after="60" w:line="360" w:lineRule="auto"/>
        <w:jc w:val="center"/>
      </w:pPr>
      <w:r>
        <w:rPr>
          <w:rFonts w:ascii="Arial" w:eastAsia="Arial" w:hAnsi="Arial" w:cs="Arial"/>
          <w:b/>
          <w:color w:val="000000"/>
          <w:sz w:val="24"/>
          <w:szCs w:val="24"/>
        </w:rPr>
        <w:t xml:space="preserve">SIMONE MURTA MARTINS</w:t>
      </w:r>
    </w:p>
    <w:p>
      <w:pPr>
        <w:spacing w:before="0" w:after="60" w:line="360" w:lineRule="auto"/>
        <w:jc w:val="center"/>
      </w:pPr>
      <w:r>
        <w:rPr>
          <w:rFonts w:ascii="Arial" w:eastAsia="Arial" w:hAnsi="Arial" w:cs="Arial"/>
          <w:b/>
          <w:color w:val="000000"/>
          <w:sz w:val="24"/>
          <w:szCs w:val="24"/>
        </w:rPr>
        <w:t xml:space="preserve">OAB/BA 48.851</w:t>
      </w:r>
    </w:p>
    <w:sectPr w:rsidR="009B5A0C" w:rsidSect="000208D1">
      <w:headerReference w:type="default" r:id="rId9"/>
      <w:footerReference w:type="default" r:id="rId10"/>
      <w:pgSz w:w="11906" w:h="16838"/>
      <w:pgMar w:top="1417" w:right="1701" w:bottom="1417" w:left="1701" w:header="1417"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9BDE" w14:textId="77777777" w:rsidR="004C37DF" w:rsidRDefault="004C37DF">
      <w:r>
        <w:separator/>
      </w:r>
    </w:p>
  </w:endnote>
  <w:endnote w:type="continuationSeparator" w:id="0">
    <w:p w14:paraId="0C8AE4BC" w14:textId="77777777" w:rsidR="004C37DF" w:rsidRDefault="004C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9F1B6CE-6DC2-49B4-864C-A6DDC5F3D0D4}"/>
    <w:embedBold r:id="rId2" w:fontKey="{92730A9E-F849-4B25-ACC9-11DE704FA313}"/>
    <w:embedItalic r:id="rId3" w:fontKey="{FF03BD81-FCE3-4BE1-B15A-09C73ED856ED}"/>
  </w:font>
  <w:font w:name="Liberation Serif">
    <w:altName w:val="Times New Roman"/>
    <w:charset w:val="00"/>
    <w:family w:val="roman"/>
    <w:pitch w:val="variable"/>
    <w:sig w:usb0="E0000AFF" w:usb1="500078FF" w:usb2="00000021" w:usb3="00000000" w:csb0="000001BF" w:csb1="00000000"/>
    <w:embedRegular r:id="rId4" w:fontKey="{1940623A-F31E-4D46-9590-40CC2BF0C8E9}"/>
    <w:embedBold r:id="rId5" w:fontKey="{E3E01D79-FB9D-4E45-BD69-F7B257419F63}"/>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6" w:fontKey="{C03F8F00-EF59-4066-B9A0-9CB74FEC1291}"/>
    <w:embedBold r:id="rId7" w:fontKey="{32CCD95A-EF51-4DCF-A093-41AFC6FAD211}"/>
  </w:font>
  <w:font w:name="Georgia">
    <w:panose1 w:val="02040502050405020303"/>
    <w:charset w:val="00"/>
    <w:family w:val="roman"/>
    <w:pitch w:val="variable"/>
    <w:sig w:usb0="00000287" w:usb1="00000000" w:usb2="00000000" w:usb3="00000000" w:csb0="0000009F" w:csb1="00000000"/>
    <w:embedRegular r:id="rId8" w:fontKey="{3A8C1679-E646-4BAA-B8AC-89C409431CC0}"/>
    <w:embedItalic r:id="rId9" w:fontKey="{49B9F5C5-F0BF-4FEE-A894-2A5726E5823B}"/>
  </w:font>
  <w:font w:name="Cambria">
    <w:panose1 w:val="02040503050406030204"/>
    <w:charset w:val="00"/>
    <w:family w:val="roman"/>
    <w:pitch w:val="variable"/>
    <w:sig w:usb0="E00006FF" w:usb1="420024FF" w:usb2="02000000" w:usb3="00000000" w:csb0="0000019F" w:csb1="00000000"/>
    <w:embedBold r:id="rId10" w:fontKey="{9EE8D44C-63C6-4EF7-8E93-07325AD19BB4}"/>
  </w:font>
  <w:font w:name="Candara">
    <w:panose1 w:val="020E0502030303020204"/>
    <w:charset w:val="00"/>
    <w:family w:val="swiss"/>
    <w:pitch w:val="variable"/>
    <w:sig w:usb0="A00002EF" w:usb1="4000A44B" w:usb2="00000000" w:usb3="00000000" w:csb0="0000019F" w:csb1="00000000"/>
    <w:embedBold r:id="rId11" w:fontKey="{E17CC148-0D72-4736-9C23-CCD92EFB6A86}"/>
  </w:font>
  <w:font w:name="Segoe UI Emoji">
    <w:panose1 w:val="020B0502040204020203"/>
    <w:charset w:val="00"/>
    <w:family w:val="swiss"/>
    <w:pitch w:val="variable"/>
    <w:sig w:usb0="00000003" w:usb1="02000000" w:usb2="08000000" w:usb3="00000000" w:csb0="00000001" w:csb1="00000000"/>
    <w:embedRegular r:id="rId12" w:fontKey="{9D305128-8DA3-48FE-AA0F-F78496254D2E}"/>
  </w:font>
  <w:font w:name="Calibri Light">
    <w:panose1 w:val="020F0302020204030204"/>
    <w:charset w:val="00"/>
    <w:family w:val="swiss"/>
    <w:pitch w:val="variable"/>
    <w:sig w:usb0="E4002EFF" w:usb1="C200247B" w:usb2="00000009" w:usb3="00000000" w:csb0="000001FF" w:csb1="00000000"/>
    <w:embedRegular r:id="rId13" w:fontKey="{E3976792-DD08-42A0-B555-A7203B5265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DA3E" w14:textId="77777777" w:rsidR="00064223" w:rsidRDefault="00064223" w:rsidP="00064223">
    <w:pPr>
      <w:pStyle w:val="NormalWeb"/>
      <w:spacing w:before="0" w:beforeAutospacing="0" w:after="0" w:afterAutospacing="0"/>
      <w:jc w:val="center"/>
      <w:rPr>
        <w:rFonts w:ascii="Arial" w:hAnsi="Arial" w:cs="Arial"/>
        <w:color w:val="464646"/>
        <w:sz w:val="18"/>
        <w:szCs w:val="18"/>
      </w:rPr>
    </w:pPr>
    <w:r>
      <w:rPr>
        <w:rFonts w:ascii="Segoe UI Emoji" w:hAnsi="Segoe UI Emoji" w:cs="Segoe UI Emoji"/>
        <w:color w:val="464646"/>
        <w:sz w:val="18"/>
        <w:szCs w:val="18"/>
      </w:rPr>
      <w:t>📍</w:t>
    </w:r>
    <w:r>
      <w:rPr>
        <w:rFonts w:ascii="Arial" w:hAnsi="Arial" w:cs="Arial"/>
        <w:color w:val="464646"/>
        <w:sz w:val="18"/>
        <w:szCs w:val="18"/>
      </w:rPr>
      <w:t xml:space="preserve"> BUSINESS CLASS SOLUÇÕES EMPRESARIAIS LTDA – Av. Santos Dumont, nº 1883, Salas 533/532, Ed. Aero Empresarial, Bairro Centro, Lauro de Freitas/BA, CEP 42702-400.</w:t>
    </w:r>
  </w:p>
  <w:p w14:paraId="02A54C2D" w14:textId="77777777" w:rsidR="00064223" w:rsidRDefault="00064223" w:rsidP="00064223">
    <w:pPr>
      <w:pStyle w:val="NormalWeb"/>
      <w:spacing w:before="0" w:beforeAutospacing="0" w:after="0" w:afterAutospacing="0"/>
      <w:jc w:val="center"/>
      <w:rPr>
        <w:rFonts w:ascii="Arial" w:hAnsi="Arial" w:cs="Arial"/>
        <w:color w:val="464646"/>
        <w:sz w:val="18"/>
        <w:szCs w:val="18"/>
      </w:rPr>
    </w:pPr>
    <w:r>
      <w:rPr>
        <w:rFonts w:ascii="Segoe UI Emoji" w:hAnsi="Segoe UI Emoji" w:cs="Segoe UI Emoji"/>
        <w:color w:val="464646"/>
        <w:sz w:val="18"/>
        <w:szCs w:val="18"/>
      </w:rPr>
      <w:t>📲</w:t>
    </w:r>
    <w:r>
      <w:rPr>
        <w:rFonts w:ascii="Arial" w:hAnsi="Arial" w:cs="Arial"/>
        <w:color w:val="464646"/>
        <w:sz w:val="18"/>
        <w:szCs w:val="18"/>
      </w:rPr>
      <w:t xml:space="preserve"> WhatsApp: (71) 9 9407-0393</w:t>
    </w:r>
  </w:p>
  <w:p w14:paraId="1A68110C" w14:textId="77777777" w:rsidR="00064223" w:rsidRDefault="00064223" w:rsidP="00064223">
    <w:pPr>
      <w:pStyle w:val="NormalWeb"/>
      <w:spacing w:before="0" w:beforeAutospacing="0" w:after="0" w:afterAutospacing="0"/>
      <w:jc w:val="center"/>
      <w:rPr>
        <w:rFonts w:ascii="Arial" w:hAnsi="Arial" w:cs="Arial"/>
        <w:color w:val="464646"/>
        <w:sz w:val="18"/>
        <w:szCs w:val="18"/>
      </w:rPr>
    </w:pPr>
    <w:r>
      <w:rPr>
        <w:rFonts w:ascii="Segoe UI Emoji" w:hAnsi="Segoe UI Emoji" w:cs="Segoe UI Emoji"/>
        <w:color w:val="464646"/>
        <w:sz w:val="18"/>
        <w:szCs w:val="18"/>
      </w:rPr>
      <w:t>📧</w:t>
    </w:r>
    <w:r>
      <w:rPr>
        <w:rFonts w:ascii="Arial" w:hAnsi="Arial" w:cs="Arial"/>
        <w:color w:val="464646"/>
        <w:sz w:val="18"/>
        <w:szCs w:val="18"/>
      </w:rPr>
      <w:t xml:space="preserve"> </w:t>
    </w:r>
    <w:hyperlink r:id="rId1" w:history="1">
      <w:r w:rsidR="006D2EB3" w:rsidRPr="00CA01EA">
        <w:rPr>
          <w:rStyle w:val="Hyperlink"/>
          <w:rFonts w:ascii="Arial" w:hAnsi="Arial" w:cs="Arial"/>
          <w:sz w:val="18"/>
          <w:szCs w:val="18"/>
        </w:rPr>
        <w:t>adv.simonemurta@gmail.com</w:t>
      </w:r>
    </w:hyperlink>
  </w:p>
  <w:p w14:paraId="2562C3C4" w14:textId="77777777" w:rsidR="006D2EB3" w:rsidRDefault="006D2EB3" w:rsidP="00064223">
    <w:pPr>
      <w:pStyle w:val="NormalWeb"/>
      <w:spacing w:before="0" w:beforeAutospacing="0" w:after="0" w:afterAutospacing="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09FC" w14:textId="77777777" w:rsidR="004C37DF" w:rsidRDefault="004C37DF">
      <w:r>
        <w:separator/>
      </w:r>
    </w:p>
  </w:footnote>
  <w:footnote w:type="continuationSeparator" w:id="0">
    <w:p w14:paraId="3DD4EE2F" w14:textId="77777777" w:rsidR="004C37DF" w:rsidRDefault="004C3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B934" w14:textId="77777777" w:rsidR="00BD7D8C" w:rsidRDefault="004C37DF">
    <w:pPr>
      <w:pBdr>
        <w:top w:val="nil"/>
        <w:left w:val="nil"/>
        <w:bottom w:val="nil"/>
        <w:right w:val="nil"/>
        <w:between w:val="nil"/>
      </w:pBdr>
      <w:tabs>
        <w:tab w:val="center" w:pos="4252"/>
        <w:tab w:val="right" w:pos="8504"/>
      </w:tabs>
      <w:rPr>
        <w:rFonts w:eastAsia="Calibri"/>
        <w:color w:val="000000"/>
        <w:sz w:val="22"/>
        <w:szCs w:val="22"/>
      </w:rPr>
    </w:pPr>
    <w:sdt>
      <w:sdtPr>
        <w:rPr>
          <w:rFonts w:eastAsia="Calibri"/>
          <w:color w:val="000000"/>
          <w:sz w:val="22"/>
          <w:szCs w:val="22"/>
        </w:rPr>
        <w:id w:val="1334491073"/>
        <w:docPartObj>
          <w:docPartGallery w:val="Page Numbers (Margins)"/>
          <w:docPartUnique/>
        </w:docPartObj>
      </w:sdtPr>
      <w:sdtEndPr/>
      <w:sdtContent>
        <w:r w:rsidR="006D2EB3" w:rsidRPr="006D2EB3">
          <w:rPr>
            <w:rFonts w:eastAsia="Calibri"/>
            <w:noProof/>
            <w:color w:val="000000"/>
            <w:sz w:val="22"/>
            <w:szCs w:val="22"/>
          </w:rPr>
          <mc:AlternateContent>
            <mc:Choice Requires="wpg">
              <w:drawing>
                <wp:anchor distT="0" distB="0" distL="114300" distR="114300" simplePos="0" relativeHeight="251660288" behindDoc="0" locked="0" layoutInCell="0" allowOverlap="1" wp14:anchorId="7A04D294" wp14:editId="0BF8D160">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6" name="Agrupar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CA642" w14:textId="77777777" w:rsidR="006D2EB3" w:rsidRDefault="006D2EB3">
                                <w:pPr>
                                  <w:pStyle w:val="Cabealho"/>
                                  <w:jc w:val="center"/>
                                </w:pPr>
                                <w:r>
                                  <w:fldChar w:fldCharType="begin"/>
                                </w:r>
                                <w:r>
                                  <w:instrText>PAGE    \* MERGEFORMAT</w:instrText>
                                </w:r>
                                <w:r>
                                  <w:fldChar w:fldCharType="separate"/>
                                </w:r>
                                <w:r>
                                  <w:rPr>
                                    <w:rStyle w:val="Nmerodepgina"/>
                                    <w:b/>
                                    <w:bCs/>
                                    <w:color w:val="7F5F00" w:themeColor="accent4" w:themeShade="7F"/>
                                    <w:sz w:val="16"/>
                                    <w:szCs w:val="16"/>
                                  </w:rPr>
                                  <w:t>2</w:t>
                                </w:r>
                                <w:r>
                                  <w:rPr>
                                    <w:rStyle w:val="Nmerodepgina"/>
                                    <w:b/>
                                    <w:bCs/>
                                    <w:color w:val="7F5F00" w:themeColor="accent4" w:themeShade="7F"/>
                                    <w:sz w:val="16"/>
                                    <w:szCs w:val="16"/>
                                  </w:rPr>
                                  <w:fldChar w:fldCharType="end"/>
                                </w:r>
                              </w:p>
                            </w:txbxContent>
                          </wps:txbx>
                          <wps:bodyPr rot="0" vert="horz" wrap="square" lIns="0" tIns="0" rIns="0" bIns="0" anchor="ctr" anchorCtr="0" upright="1">
                            <a:noAutofit/>
                          </wps:bodyPr>
                        </wps:wsp>
                        <wpg:grpSp>
                          <wpg:cNvPr id="8" name="Group 72"/>
                          <wpg:cNvGrpSpPr>
                            <a:grpSpLocks/>
                          </wpg:cNvGrpSpPr>
                          <wpg:grpSpPr bwMode="auto">
                            <a:xfrm>
                              <a:off x="886" y="3255"/>
                              <a:ext cx="374" cy="374"/>
                              <a:chOff x="1453" y="14832"/>
                              <a:chExt cx="374" cy="374"/>
                            </a:xfrm>
                          </wpg:grpSpPr>
                          <wps:wsp>
                            <wps:cNvPr id="9"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A04D294" id="Agrupar 6" o:spid="_x0000_s1026" style="position:absolute;margin-left:0;margin-top:0;width:38.45pt;height:18.7pt;z-index:251660288;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" filled="f" stroked="f">
                    <v:textbox inset="0,0,0,0">
                      <w:txbxContent>
                        <w:p w14:paraId="542CA642" w14:textId="77777777" w:rsidR="006D2EB3" w:rsidRDefault="006D2EB3">
                          <w:pPr>
                            <w:pStyle w:val="Cabealho"/>
                            <w:jc w:val="center"/>
                          </w:pPr>
                          <w:r>
                            <w:fldChar w:fldCharType="begin"/>
                          </w:r>
                          <w:r>
                            <w:instrText>PAGE    \* MERGEFORMAT</w:instrText>
                          </w:r>
                          <w:r>
                            <w:fldChar w:fldCharType="separate"/>
                          </w:r>
                          <w:r>
                            <w:rPr>
                              <w:rStyle w:val="Nmerodepgina"/>
                              <w:b/>
                              <w:bCs/>
                              <w:color w:val="7F5F00" w:themeColor="accent4" w:themeShade="7F"/>
                              <w:sz w:val="16"/>
                              <w:szCs w:val="16"/>
                            </w:rPr>
                            <w:t>2</w:t>
                          </w:r>
                          <w:r>
                            <w:rPr>
                              <w:rStyle w:val="Nmerodepgina"/>
                              <w:b/>
                              <w:bCs/>
                              <w:color w:val="7F5F00"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" fillcolor="#84a2c6" stroked="f"/>
                  </v:group>
                  <w10:wrap anchorx="margin" anchory="page"/>
                </v:group>
              </w:pict>
            </mc:Fallback>
          </mc:AlternateContent>
        </w:r>
      </w:sdtContent>
    </w:sdt>
    <w:r w:rsidR="00582C3D">
      <w:rPr>
        <w:rFonts w:eastAsia="Calibri"/>
        <w:noProof/>
        <w:color w:val="000000"/>
        <w:sz w:val="22"/>
        <w:szCs w:val="22"/>
      </w:rPr>
      <mc:AlternateContent>
        <mc:Choice Requires="wpg">
          <w:drawing>
            <wp:anchor distT="0" distB="0" distL="0" distR="0" simplePos="0" relativeHeight="251658240" behindDoc="1" locked="0" layoutInCell="1" hidden="0" allowOverlap="1" wp14:anchorId="03D588A9" wp14:editId="599733B6">
              <wp:simplePos x="0" y="0"/>
              <wp:positionH relativeFrom="page">
                <wp:posOffset>9525</wp:posOffset>
              </wp:positionH>
              <wp:positionV relativeFrom="topMargin">
                <wp:posOffset>1</wp:posOffset>
              </wp:positionV>
              <wp:extent cx="7563475" cy="896421"/>
              <wp:effectExtent l="0" t="0" r="0" b="0"/>
              <wp:wrapNone/>
              <wp:docPr id="12" name="Group 12"/>
              <wp:cNvGraphicFramePr/>
              <a:graphic xmlns:a="http://schemas.openxmlformats.org/drawingml/2006/main">
                <a:graphicData uri="http://schemas.microsoft.com/office/word/2010/wordprocessingGroup">
                  <wpg:wgp>
                    <wpg:cNvGrpSpPr/>
                    <wpg:grpSpPr>
                      <a:xfrm>
                        <a:off x="0" y="0"/>
                        <a:ext cx="7563475" cy="896421"/>
                        <a:chOff x="1574100" y="3113250"/>
                        <a:chExt cx="7562850" cy="1014095"/>
                      </a:xfrm>
                    </wpg:grpSpPr>
                    <wpg:grpSp>
                      <wpg:cNvPr id="1488149965" name="Group 1488149965"/>
                      <wpg:cNvGrpSpPr/>
                      <wpg:grpSpPr>
                        <a:xfrm>
                          <a:off x="1574100" y="3113250"/>
                          <a:ext cx="7562850" cy="1014095"/>
                          <a:chOff x="15" y="-219"/>
                          <a:chExt cx="11910" cy="1597"/>
                        </a:xfrm>
                      </wpg:grpSpPr>
                      <wps:wsp>
                        <wps:cNvPr id="512740" name="Rectangle 512740"/>
                        <wps:cNvSpPr/>
                        <wps:spPr>
                          <a:xfrm>
                            <a:off x="4185" y="256"/>
                            <a:ext cx="7710" cy="1122"/>
                          </a:xfrm>
                          <a:prstGeom prst="rect">
                            <a:avLst/>
                          </a:prstGeom>
                          <a:noFill/>
                          <a:ln>
                            <a:noFill/>
                          </a:ln>
                        </wps:spPr>
                        <wps:txbx>
                          <w:txbxContent>
                            <w:p w14:paraId="3D383EA5" w14:textId="77777777" w:rsidR="008643AC" w:rsidRDefault="008643AC" w:rsidP="008643AC">
                              <w:pPr>
                                <w:pStyle w:val="NormalWeb"/>
                                <w:spacing w:before="0" w:beforeAutospacing="0" w:after="0" w:afterAutospacing="0"/>
                              </w:pPr>
                              <w:r>
                                <w:rPr>
                                  <w:rFonts w:ascii="Arial" w:hAnsi="Arial" w:cs="Arial"/>
                                  <w:b/>
                                  <w:bCs/>
                                  <w:color w:val="2F1816"/>
                                  <w:sz w:val="32"/>
                                  <w:szCs w:val="32"/>
                                </w:rPr>
                                <w:t>SIMONE MURTA MARTINS</w:t>
                              </w:r>
                            </w:p>
                            <w:p w14:paraId="31C81E94" w14:textId="77777777" w:rsidR="008643AC" w:rsidRDefault="008643AC" w:rsidP="008643AC">
                              <w:pPr>
                                <w:pStyle w:val="NormalWeb"/>
                                <w:spacing w:before="0" w:beforeAutospacing="0" w:after="0" w:afterAutospacing="0"/>
                              </w:pPr>
                              <w:r>
                                <w:rPr>
                                  <w:rFonts w:ascii="Arial" w:hAnsi="Arial" w:cs="Arial"/>
                                  <w:color w:val="A9826A"/>
                                  <w:sz w:val="22"/>
                                  <w:szCs w:val="22"/>
                                </w:rPr>
                                <w:t>ADVOGADA – DIREITO DA SAÚDE</w:t>
                              </w:r>
                            </w:p>
                            <w:p w14:paraId="6549D70D" w14:textId="77777777" w:rsidR="00BD7D8C" w:rsidRDefault="00BD7D8C">
                              <w:pPr>
                                <w:textDirection w:val="btLr"/>
                              </w:pPr>
                            </w:p>
                          </w:txbxContent>
                        </wps:txbx>
                        <wps:bodyPr spcFirstLastPara="1" wrap="square" lIns="91425" tIns="91425" rIns="91425" bIns="91425" anchor="ctr" anchorCtr="0">
                          <a:noAutofit/>
                        </wps:bodyPr>
                      </wps:wsp>
                      <wps:wsp>
                        <wps:cNvPr id="2065400210" name="Freeform: Shape 2065400210"/>
                        <wps:cNvSpPr/>
                        <wps:spPr>
                          <a:xfrm>
                            <a:off x="15" y="-202"/>
                            <a:ext cx="5955" cy="1510"/>
                          </a:xfrm>
                          <a:custGeom>
                            <a:avLst/>
                            <a:gdLst/>
                            <a:ahLst/>
                            <a:cxnLst/>
                            <a:rect l="l" t="t" r="r" b="b"/>
                            <a:pathLst>
                              <a:path w="6248" h="1662" extrusionOk="0">
                                <a:moveTo>
                                  <a:pt x="0" y="1661"/>
                                </a:moveTo>
                                <a:lnTo>
                                  <a:pt x="0" y="0"/>
                                </a:lnTo>
                                <a:lnTo>
                                  <a:pt x="6248" y="0"/>
                                </a:lnTo>
                                <a:lnTo>
                                  <a:pt x="0" y="1661"/>
                                </a:lnTo>
                                <a:close/>
                              </a:path>
                            </a:pathLst>
                          </a:custGeom>
                          <a:solidFill>
                            <a:srgbClr val="A88640">
                              <a:alpha val="46666"/>
                            </a:srgbClr>
                          </a:solidFill>
                          <a:ln>
                            <a:noFill/>
                          </a:ln>
                        </wps:spPr>
                        <wps:txbx>
                          <w:txbxContent>
                            <w:p w14:paraId="1626097C" w14:textId="77777777" w:rsidR="00064223" w:rsidRPr="00064223" w:rsidRDefault="00064223" w:rsidP="00064223">
                              <w:pPr>
                                <w:pStyle w:val="NormalWeb"/>
                                <w:spacing w:before="0" w:beforeAutospacing="0" w:after="0" w:afterAutospacing="0"/>
                                <w:rPr>
                                  <w:i/>
                                </w:rPr>
                              </w:pPr>
                              <w:r>
                                <w:rPr>
                                  <w:color w:val="A9826A"/>
                                  <w:sz w:val="84"/>
                                  <w:szCs w:val="84"/>
                                </w:rPr>
                                <w:t xml:space="preserve">             </w:t>
                              </w:r>
                            </w:p>
                            <w:p w14:paraId="4C46AA98" w14:textId="77777777" w:rsidR="00064223" w:rsidRPr="00064223" w:rsidRDefault="00064223" w:rsidP="00064223">
                              <w:pPr>
                                <w:jc w:val="center"/>
                                <w:rPr>
                                  <w:color w:val="A9826A"/>
                                  <w:sz w:val="76"/>
                                  <w:szCs w:val="76"/>
                                </w:rPr>
                              </w:pPr>
                              <w:r>
                                <w:rPr>
                                  <w:i/>
                                  <w:color w:val="A9826A"/>
                                  <w:sz w:val="76"/>
                                  <w:szCs w:val="76"/>
                                </w:rPr>
                                <w:t xml:space="preserve">      </w:t>
                              </w:r>
                              <w:r w:rsidRPr="00064223">
                                <w:rPr>
                                  <w:color w:val="A9826A"/>
                                  <w:sz w:val="76"/>
                                  <w:szCs w:val="76"/>
                                </w:rPr>
                                <w:t xml:space="preserve">SM </w:t>
                              </w:r>
                            </w:p>
                            <w:p w14:paraId="4E0B6D2C" w14:textId="77777777" w:rsidR="00064223" w:rsidRPr="00064223" w:rsidRDefault="00064223" w:rsidP="00064223">
                              <w:pPr>
                                <w:jc w:val="center"/>
                                <w:rPr>
                                  <w:sz w:val="80"/>
                                  <w:szCs w:val="80"/>
                                </w:rPr>
                              </w:pPr>
                            </w:p>
                          </w:txbxContent>
                        </wps:txbx>
                        <wps:bodyPr spcFirstLastPara="1" wrap="square" lIns="91425" tIns="91425" rIns="91425" bIns="91425" anchor="ctr" anchorCtr="0">
                          <a:noAutofit/>
                        </wps:bodyPr>
                      </wps:wsp>
                      <wps:wsp>
                        <wps:cNvPr id="527380056" name="Freeform: Shape 527380056"/>
                        <wps:cNvSpPr/>
                        <wps:spPr>
                          <a:xfrm>
                            <a:off x="4364" y="-219"/>
                            <a:ext cx="7561" cy="1169"/>
                          </a:xfrm>
                          <a:custGeom>
                            <a:avLst/>
                            <a:gdLst/>
                            <a:ahLst/>
                            <a:cxnLst/>
                            <a:rect l="l" t="t" r="r" b="b"/>
                            <a:pathLst>
                              <a:path w="7561" h="973" extrusionOk="0">
                                <a:moveTo>
                                  <a:pt x="0" y="0"/>
                                </a:moveTo>
                                <a:lnTo>
                                  <a:pt x="7560" y="0"/>
                                </a:lnTo>
                                <a:lnTo>
                                  <a:pt x="7560" y="972"/>
                                </a:lnTo>
                                <a:lnTo>
                                  <a:pt x="0" y="0"/>
                                </a:lnTo>
                                <a:close/>
                              </a:path>
                            </a:pathLst>
                          </a:custGeom>
                          <a:solidFill>
                            <a:srgbClr val="311313"/>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3D588A9" id="Group 12" o:spid="_x0000_s1031" style="position:absolute;margin-left:.75pt;margin-top:0;width:595.55pt;height:70.6pt;z-index:-251658240;mso-wrap-distance-left:0;mso-wrap-distance-right:0;mso-position-horizontal-relative:page;mso-position-vertical-relative:top-margin-area;mso-width-relative:margin;mso-height-relative:margin" coordorigin="15741,31132" coordsize="75628,1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">
              <v:group id="Group 1488149965" o:spid="_x0000_s1032" style="position:absolute;left:15741;top:31132;width:75628;height:10141" coordorigin="15,-219" coordsize="11910,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">
                <v:rect id="Rectangle 512740" o:spid="_x0000_s1033" style="position:absolute;left:4185;top:256;width:7710;height:1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" filled="f" stroked="f">
                  <v:textbox inset="2.53958mm,2.53958mm,2.53958mm,2.53958mm">
                    <w:txbxContent>
                      <w:p w14:paraId="3D383EA5" w14:textId="77777777" w:rsidR="008643AC" w:rsidRDefault="008643AC" w:rsidP="008643AC">
                        <w:pPr>
                          <w:pStyle w:val="NormalWeb"/>
                          <w:spacing w:before="0" w:beforeAutospacing="0" w:after="0" w:afterAutospacing="0"/>
                        </w:pPr>
                        <w:r>
                          <w:rPr>
                            <w:rFonts w:ascii="Arial" w:hAnsi="Arial" w:cs="Arial"/>
                            <w:b/>
                            <w:bCs/>
                            <w:color w:val="2F1816"/>
                            <w:sz w:val="32"/>
                            <w:szCs w:val="32"/>
                          </w:rPr>
                          <w:t>SIMONE MURTA MARTINS</w:t>
                        </w:r>
                      </w:p>
                      <w:p w14:paraId="31C81E94" w14:textId="77777777" w:rsidR="008643AC" w:rsidRDefault="008643AC" w:rsidP="008643AC">
                        <w:pPr>
                          <w:pStyle w:val="NormalWeb"/>
                          <w:spacing w:before="0" w:beforeAutospacing="0" w:after="0" w:afterAutospacing="0"/>
                        </w:pPr>
                        <w:r>
                          <w:rPr>
                            <w:rFonts w:ascii="Arial" w:hAnsi="Arial" w:cs="Arial"/>
                            <w:color w:val="A9826A"/>
                            <w:sz w:val="22"/>
                            <w:szCs w:val="22"/>
                          </w:rPr>
                          <w:t>ADVOGADA – DIREITO DA SAÚDE</w:t>
                        </w:r>
                      </w:p>
                      <w:p w14:paraId="6549D70D" w14:textId="77777777" w:rsidR="00BD7D8C" w:rsidRDefault="00BD7D8C">
                        <w:pPr>
                          <w:textDirection w:val="btLr"/>
                        </w:pPr>
                      </w:p>
                    </w:txbxContent>
                  </v:textbox>
                </v:rect>
                <v:shape id="Freeform: Shape 2065400210" o:spid="_x0000_s1034" style="position:absolute;left:15;top:-202;width:5955;height:1510;visibility:visible;mso-wrap-style:square;v-text-anchor:middle" coordsize="6248,16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" adj="-11796480,,5400" path="m,1661l,,6248,,,1661xe" fillcolor="#a88640" stroked="f">
                  <v:fill opacity="30583f"/>
                  <v:stroke joinstyle="miter"/>
                  <v:formulas/>
                  <v:path arrowok="t" o:extrusionok="f" o:connecttype="custom" textboxrect="0,0,6248,1662"/>
                  <v:textbox inset="2.53958mm,2.53958mm,2.53958mm,2.53958mm">
                    <w:txbxContent>
                      <w:p w14:paraId="1626097C" w14:textId="77777777" w:rsidR="00064223" w:rsidRPr="00064223" w:rsidRDefault="00064223" w:rsidP="00064223">
                        <w:pPr>
                          <w:pStyle w:val="NormalWeb"/>
                          <w:spacing w:before="0" w:beforeAutospacing="0" w:after="0" w:afterAutospacing="0"/>
                          <w:rPr>
                            <w:i/>
                          </w:rPr>
                        </w:pPr>
                        <w:r>
                          <w:rPr>
                            <w:color w:val="A9826A"/>
                            <w:sz w:val="84"/>
                            <w:szCs w:val="84"/>
                          </w:rPr>
                          <w:t xml:space="preserve">             </w:t>
                        </w:r>
                      </w:p>
                      <w:p w14:paraId="4C46AA98" w14:textId="77777777" w:rsidR="00064223" w:rsidRPr="00064223" w:rsidRDefault="00064223" w:rsidP="00064223">
                        <w:pPr>
                          <w:jc w:val="center"/>
                          <w:rPr>
                            <w:color w:val="A9826A"/>
                            <w:sz w:val="76"/>
                            <w:szCs w:val="76"/>
                          </w:rPr>
                        </w:pPr>
                        <w:r>
                          <w:rPr>
                            <w:i/>
                            <w:color w:val="A9826A"/>
                            <w:sz w:val="76"/>
                            <w:szCs w:val="76"/>
                          </w:rPr>
                          <w:t xml:space="preserve">      </w:t>
                        </w:r>
                        <w:r w:rsidRPr="00064223">
                          <w:rPr>
                            <w:color w:val="A9826A"/>
                            <w:sz w:val="76"/>
                            <w:szCs w:val="76"/>
                          </w:rPr>
                          <w:t xml:space="preserve">SM </w:t>
                        </w:r>
                      </w:p>
                      <w:p w14:paraId="4E0B6D2C" w14:textId="77777777" w:rsidR="00064223" w:rsidRPr="00064223" w:rsidRDefault="00064223" w:rsidP="00064223">
                        <w:pPr>
                          <w:jc w:val="center"/>
                          <w:rPr>
                            <w:sz w:val="80"/>
                            <w:szCs w:val="80"/>
                          </w:rPr>
                        </w:pPr>
                      </w:p>
                    </w:txbxContent>
                  </v:textbox>
                </v:shape>
                <v:shape id="Freeform: Shape 527380056" o:spid="_x0000_s1035" style="position:absolute;left:4364;top:-219;width:7561;height:1169;visibility:visible;mso-wrap-style:square;v-text-anchor:middle" coordsize="7561,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" path="m,l7560,r,972l,xe" fillcolor="#311313" stroked="f">
                  <v:path arrowok="t" o:extrusionok="f"/>
                </v:shape>
              </v:group>
              <w10:wrap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F4B"/>
    <w:multiLevelType w:val="hybridMultilevel"/>
    <w:tmpl w:val="85EE829A"/>
    <w:lvl w:ilvl="0" w:tplc="E9FAA40A">
      <w:start w:val="1"/>
      <w:numFmt w:val="bullet"/>
      <w:lvlText w:val="•"/>
      <w:lvlJc w:val="left"/>
      <w:pPr>
        <w:ind w:left="720" w:hanging="360"/>
      </w:pPr>
    </w:lvl>
    <w:lvl w:ilvl="1" w:tplc="8960D0A4">
      <w:numFmt w:val="decimal"/>
      <w:lvlText w:val=""/>
      <w:lvlJc w:val="left"/>
    </w:lvl>
    <w:lvl w:ilvl="2" w:tplc="99026E82">
      <w:numFmt w:val="decimal"/>
      <w:lvlText w:val=""/>
      <w:lvlJc w:val="left"/>
    </w:lvl>
    <w:lvl w:ilvl="3" w:tplc="06D45CA0">
      <w:numFmt w:val="decimal"/>
      <w:lvlText w:val=""/>
      <w:lvlJc w:val="left"/>
    </w:lvl>
    <w:lvl w:ilvl="4" w:tplc="F37A150C">
      <w:numFmt w:val="decimal"/>
      <w:lvlText w:val=""/>
      <w:lvlJc w:val="left"/>
    </w:lvl>
    <w:lvl w:ilvl="5" w:tplc="E8F474D6">
      <w:numFmt w:val="decimal"/>
      <w:lvlText w:val=""/>
      <w:lvlJc w:val="left"/>
    </w:lvl>
    <w:lvl w:ilvl="6" w:tplc="BF4A273C">
      <w:numFmt w:val="decimal"/>
      <w:lvlText w:val=""/>
      <w:lvlJc w:val="left"/>
    </w:lvl>
    <w:lvl w:ilvl="7" w:tplc="8AF41AF0">
      <w:numFmt w:val="decimal"/>
      <w:lvlText w:val=""/>
      <w:lvlJc w:val="left"/>
    </w:lvl>
    <w:lvl w:ilvl="8" w:tplc="B9D6BFA2">
      <w:numFmt w:val="decimal"/>
      <w:lvlText w:val=""/>
      <w:lvlJc w:val="left"/>
    </w:lvl>
  </w:abstractNum>
  <w:abstractNum w:abstractNumId="1" w15:restartNumberingAfterBreak="0">
    <w:nsid w:val="104611D8"/>
    <w:multiLevelType w:val="multilevel"/>
    <w:tmpl w:val="5CDAB260"/>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70950EE"/>
    <w:multiLevelType w:val="multilevel"/>
    <w:tmpl w:val="0C7C7626"/>
    <w:lvl w:ilvl="0">
      <w:start w:val="1"/>
      <w:numFmt w:val="lowerLetter"/>
      <w:lvlText w:val="%1)"/>
      <w:lvlJc w:val="left"/>
      <w:pPr>
        <w:tabs>
          <w:tab w:val="num" w:pos="0"/>
        </w:tabs>
        <w:ind w:left="2345" w:hanging="360"/>
      </w:pPr>
      <w:rPr>
        <w:b w:val="0"/>
        <w:bCs/>
      </w:rPr>
    </w:lvl>
    <w:lvl w:ilvl="1">
      <w:start w:val="1"/>
      <w:numFmt w:val="lowerLetter"/>
      <w:lvlText w:val="%2."/>
      <w:lvlJc w:val="left"/>
      <w:pPr>
        <w:tabs>
          <w:tab w:val="num" w:pos="0"/>
        </w:tabs>
        <w:ind w:left="3065" w:hanging="360"/>
      </w:pPr>
    </w:lvl>
    <w:lvl w:ilvl="2">
      <w:start w:val="1"/>
      <w:numFmt w:val="lowerRoman"/>
      <w:lvlText w:val="%3."/>
      <w:lvlJc w:val="right"/>
      <w:pPr>
        <w:tabs>
          <w:tab w:val="num" w:pos="0"/>
        </w:tabs>
        <w:ind w:left="3785" w:hanging="180"/>
      </w:pPr>
    </w:lvl>
    <w:lvl w:ilvl="3">
      <w:start w:val="1"/>
      <w:numFmt w:val="decimal"/>
      <w:lvlText w:val="%4."/>
      <w:lvlJc w:val="left"/>
      <w:pPr>
        <w:tabs>
          <w:tab w:val="num" w:pos="0"/>
        </w:tabs>
        <w:ind w:left="4505" w:hanging="360"/>
      </w:pPr>
    </w:lvl>
    <w:lvl w:ilvl="4">
      <w:start w:val="1"/>
      <w:numFmt w:val="lowerLetter"/>
      <w:lvlText w:val="%5."/>
      <w:lvlJc w:val="left"/>
      <w:pPr>
        <w:tabs>
          <w:tab w:val="num" w:pos="0"/>
        </w:tabs>
        <w:ind w:left="5225" w:hanging="360"/>
      </w:pPr>
    </w:lvl>
    <w:lvl w:ilvl="5">
      <w:start w:val="1"/>
      <w:numFmt w:val="lowerRoman"/>
      <w:lvlText w:val="%6."/>
      <w:lvlJc w:val="right"/>
      <w:pPr>
        <w:tabs>
          <w:tab w:val="num" w:pos="0"/>
        </w:tabs>
        <w:ind w:left="5945" w:hanging="180"/>
      </w:pPr>
    </w:lvl>
    <w:lvl w:ilvl="6">
      <w:start w:val="1"/>
      <w:numFmt w:val="decimal"/>
      <w:lvlText w:val="%7."/>
      <w:lvlJc w:val="left"/>
      <w:pPr>
        <w:tabs>
          <w:tab w:val="num" w:pos="0"/>
        </w:tabs>
        <w:ind w:left="6665" w:hanging="360"/>
      </w:pPr>
    </w:lvl>
    <w:lvl w:ilvl="7">
      <w:start w:val="1"/>
      <w:numFmt w:val="lowerLetter"/>
      <w:lvlText w:val="%8."/>
      <w:lvlJc w:val="left"/>
      <w:pPr>
        <w:tabs>
          <w:tab w:val="num" w:pos="0"/>
        </w:tabs>
        <w:ind w:left="7385" w:hanging="360"/>
      </w:pPr>
    </w:lvl>
    <w:lvl w:ilvl="8">
      <w:start w:val="1"/>
      <w:numFmt w:val="lowerRoman"/>
      <w:lvlText w:val="%9."/>
      <w:lvlJc w:val="right"/>
      <w:pPr>
        <w:tabs>
          <w:tab w:val="num" w:pos="0"/>
        </w:tabs>
        <w:ind w:left="8105" w:hanging="180"/>
      </w:pPr>
    </w:lvl>
  </w:abstractNum>
  <w:abstractNum w:abstractNumId="3" w15:restartNumberingAfterBreak="0">
    <w:nsid w:val="2D3A4447"/>
    <w:multiLevelType w:val="hybridMultilevel"/>
    <w:tmpl w:val="2A905170"/>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4" w15:restartNumberingAfterBreak="0">
    <w:nsid w:val="3C5B376B"/>
    <w:multiLevelType w:val="hybridMultilevel"/>
    <w:tmpl w:val="464AD71E"/>
    <w:lvl w:ilvl="0" w:tplc="BEA8C86A">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4A12586D"/>
    <w:multiLevelType w:val="hybridMultilevel"/>
    <w:tmpl w:val="E3BA1564"/>
    <w:lvl w:ilvl="0" w:tplc="EF344754">
      <w:start w:val="1"/>
      <w:numFmt w:val="lowerLetter"/>
      <w:lvlText w:val="%1)"/>
      <w:lvlJc w:val="left"/>
      <w:pPr>
        <w:ind w:left="1494" w:hanging="360"/>
      </w:pPr>
    </w:lvl>
    <w:lvl w:ilvl="1" w:tplc="04160019">
      <w:start w:val="1"/>
      <w:numFmt w:val="lowerLetter"/>
      <w:lvlText w:val="%2."/>
      <w:lvlJc w:val="left"/>
      <w:pPr>
        <w:ind w:left="2214" w:hanging="360"/>
      </w:pPr>
    </w:lvl>
    <w:lvl w:ilvl="2" w:tplc="0416001B">
      <w:start w:val="1"/>
      <w:numFmt w:val="lowerRoman"/>
      <w:lvlText w:val="%3."/>
      <w:lvlJc w:val="right"/>
      <w:pPr>
        <w:ind w:left="2934" w:hanging="180"/>
      </w:pPr>
    </w:lvl>
    <w:lvl w:ilvl="3" w:tplc="0416000F">
      <w:start w:val="1"/>
      <w:numFmt w:val="decimal"/>
      <w:lvlText w:val="%4."/>
      <w:lvlJc w:val="left"/>
      <w:pPr>
        <w:ind w:left="3654" w:hanging="360"/>
      </w:pPr>
    </w:lvl>
    <w:lvl w:ilvl="4" w:tplc="04160019">
      <w:start w:val="1"/>
      <w:numFmt w:val="lowerLetter"/>
      <w:lvlText w:val="%5."/>
      <w:lvlJc w:val="left"/>
      <w:pPr>
        <w:ind w:left="4374" w:hanging="360"/>
      </w:pPr>
    </w:lvl>
    <w:lvl w:ilvl="5" w:tplc="0416001B">
      <w:start w:val="1"/>
      <w:numFmt w:val="lowerRoman"/>
      <w:lvlText w:val="%6."/>
      <w:lvlJc w:val="right"/>
      <w:pPr>
        <w:ind w:left="5094" w:hanging="180"/>
      </w:pPr>
    </w:lvl>
    <w:lvl w:ilvl="6" w:tplc="0416000F">
      <w:start w:val="1"/>
      <w:numFmt w:val="decimal"/>
      <w:lvlText w:val="%7."/>
      <w:lvlJc w:val="left"/>
      <w:pPr>
        <w:ind w:left="5814" w:hanging="360"/>
      </w:pPr>
    </w:lvl>
    <w:lvl w:ilvl="7" w:tplc="04160019">
      <w:start w:val="1"/>
      <w:numFmt w:val="lowerLetter"/>
      <w:lvlText w:val="%8."/>
      <w:lvlJc w:val="left"/>
      <w:pPr>
        <w:ind w:left="6534" w:hanging="360"/>
      </w:pPr>
    </w:lvl>
    <w:lvl w:ilvl="8" w:tplc="0416001B">
      <w:start w:val="1"/>
      <w:numFmt w:val="lowerRoman"/>
      <w:lvlText w:val="%9."/>
      <w:lvlJc w:val="right"/>
      <w:pPr>
        <w:ind w:left="7254" w:hanging="180"/>
      </w:pPr>
    </w:lvl>
  </w:abstractNum>
  <w:abstractNum w:abstractNumId="6" w15:restartNumberingAfterBreak="0">
    <w:nsid w:val="5AC75E1E"/>
    <w:multiLevelType w:val="hybridMultilevel"/>
    <w:tmpl w:val="1D001148"/>
    <w:lvl w:ilvl="0" w:tplc="542C9B1C">
      <w:start w:val="1"/>
      <w:numFmt w:val="lowerLetter"/>
      <w:lvlText w:val="%1)"/>
      <w:lvlJc w:val="left"/>
      <w:pPr>
        <w:ind w:left="643" w:hanging="360"/>
      </w:pPr>
    </w:lvl>
    <w:lvl w:ilvl="1" w:tplc="04160019">
      <w:start w:val="1"/>
      <w:numFmt w:val="lowerLetter"/>
      <w:lvlText w:val="%2."/>
      <w:lvlJc w:val="left"/>
      <w:pPr>
        <w:ind w:left="1363" w:hanging="360"/>
      </w:pPr>
    </w:lvl>
    <w:lvl w:ilvl="2" w:tplc="0416001B">
      <w:start w:val="1"/>
      <w:numFmt w:val="lowerRoman"/>
      <w:lvlText w:val="%3."/>
      <w:lvlJc w:val="right"/>
      <w:pPr>
        <w:ind w:left="2083" w:hanging="180"/>
      </w:pPr>
    </w:lvl>
    <w:lvl w:ilvl="3" w:tplc="0416000F">
      <w:start w:val="1"/>
      <w:numFmt w:val="decimal"/>
      <w:lvlText w:val="%4."/>
      <w:lvlJc w:val="left"/>
      <w:pPr>
        <w:ind w:left="2803" w:hanging="360"/>
      </w:pPr>
    </w:lvl>
    <w:lvl w:ilvl="4" w:tplc="04160019">
      <w:start w:val="1"/>
      <w:numFmt w:val="lowerLetter"/>
      <w:lvlText w:val="%5."/>
      <w:lvlJc w:val="left"/>
      <w:pPr>
        <w:ind w:left="3523" w:hanging="360"/>
      </w:pPr>
    </w:lvl>
    <w:lvl w:ilvl="5" w:tplc="0416001B">
      <w:start w:val="1"/>
      <w:numFmt w:val="lowerRoman"/>
      <w:lvlText w:val="%6."/>
      <w:lvlJc w:val="right"/>
      <w:pPr>
        <w:ind w:left="4243" w:hanging="180"/>
      </w:pPr>
    </w:lvl>
    <w:lvl w:ilvl="6" w:tplc="0416000F">
      <w:start w:val="1"/>
      <w:numFmt w:val="decimal"/>
      <w:lvlText w:val="%7."/>
      <w:lvlJc w:val="left"/>
      <w:pPr>
        <w:ind w:left="4963" w:hanging="360"/>
      </w:pPr>
    </w:lvl>
    <w:lvl w:ilvl="7" w:tplc="04160019">
      <w:start w:val="1"/>
      <w:numFmt w:val="lowerLetter"/>
      <w:lvlText w:val="%8."/>
      <w:lvlJc w:val="left"/>
      <w:pPr>
        <w:ind w:left="5683" w:hanging="360"/>
      </w:pPr>
    </w:lvl>
    <w:lvl w:ilvl="8" w:tplc="0416001B">
      <w:start w:val="1"/>
      <w:numFmt w:val="lowerRoman"/>
      <w:lvlText w:val="%9."/>
      <w:lvlJc w:val="right"/>
      <w:pPr>
        <w:ind w:left="6403" w:hanging="180"/>
      </w:pPr>
    </w:lvl>
  </w:abstractNum>
  <w:abstractNum w:abstractNumId="7" w15:restartNumberingAfterBreak="0">
    <w:nsid w:val="75CA08A6"/>
    <w:multiLevelType w:val="hybridMultilevel"/>
    <w:tmpl w:val="790C5D8C"/>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15:restartNumberingAfterBreak="0">
    <w:nsid w:val="7D1F64E5"/>
    <w:multiLevelType w:val="hybridMultilevel"/>
    <w:tmpl w:val="E1866D52"/>
    <w:lvl w:ilvl="0" w:tplc="51B891EA">
      <w:start w:val="1"/>
      <w:numFmt w:val="bullet"/>
      <w:lvlText w:val="•"/>
      <w:lvlJc w:val="left"/>
      <w:pPr>
        <w:ind w:left="644" w:hanging="360"/>
      </w:pPr>
    </w:lvl>
    <w:lvl w:ilvl="1" w:tplc="4CA47EF2">
      <w:numFmt w:val="decimal"/>
      <w:lvlText w:val=""/>
      <w:lvlJc w:val="left"/>
    </w:lvl>
    <w:lvl w:ilvl="2" w:tplc="A4EEDC08">
      <w:numFmt w:val="decimal"/>
      <w:lvlText w:val=""/>
      <w:lvlJc w:val="left"/>
    </w:lvl>
    <w:lvl w:ilvl="3" w:tplc="D0086384">
      <w:numFmt w:val="decimal"/>
      <w:lvlText w:val=""/>
      <w:lvlJc w:val="left"/>
    </w:lvl>
    <w:lvl w:ilvl="4" w:tplc="2C345388">
      <w:numFmt w:val="decimal"/>
      <w:lvlText w:val=""/>
      <w:lvlJc w:val="left"/>
    </w:lvl>
    <w:lvl w:ilvl="5" w:tplc="F7482D38">
      <w:numFmt w:val="decimal"/>
      <w:lvlText w:val=""/>
      <w:lvlJc w:val="left"/>
    </w:lvl>
    <w:lvl w:ilvl="6" w:tplc="35E62A14">
      <w:numFmt w:val="decimal"/>
      <w:lvlText w:val=""/>
      <w:lvlJc w:val="left"/>
    </w:lvl>
    <w:lvl w:ilvl="7" w:tplc="87789926">
      <w:numFmt w:val="decimal"/>
      <w:lvlText w:val=""/>
      <w:lvlJc w:val="left"/>
    </w:lvl>
    <w:lvl w:ilvl="8" w:tplc="DD4EAD4C">
      <w:numFmt w:val="decimal"/>
      <w:lvlText w:val=""/>
      <w:lvlJc w:val="left"/>
    </w:lvl>
  </w:abstractNum>
  <w:abstractNum w:abstractNumId="9" w15:restartNumberingAfterBreak="0">
    <w:nsid w:val="7FEE1A18"/>
    <w:multiLevelType w:val="hybridMultilevel"/>
    <w:tmpl w:val="45D0B7E2"/>
    <w:lvl w:ilvl="0" w:tplc="E12A90BE">
      <w:start w:val="1"/>
      <w:numFmt w:val="lowerLetter"/>
      <w:lvlText w:val="%1)"/>
      <w:lvlJc w:val="left"/>
      <w:pPr>
        <w:ind w:left="688" w:hanging="405"/>
      </w:pPr>
    </w:lvl>
    <w:lvl w:ilvl="1" w:tplc="04160019">
      <w:start w:val="1"/>
      <w:numFmt w:val="lowerLetter"/>
      <w:lvlText w:val="%2."/>
      <w:lvlJc w:val="left"/>
      <w:pPr>
        <w:ind w:left="1363" w:hanging="360"/>
      </w:pPr>
    </w:lvl>
    <w:lvl w:ilvl="2" w:tplc="0416001B">
      <w:start w:val="1"/>
      <w:numFmt w:val="lowerRoman"/>
      <w:lvlText w:val="%3."/>
      <w:lvlJc w:val="right"/>
      <w:pPr>
        <w:ind w:left="2083" w:hanging="180"/>
      </w:pPr>
    </w:lvl>
    <w:lvl w:ilvl="3" w:tplc="0416000F">
      <w:start w:val="1"/>
      <w:numFmt w:val="decimal"/>
      <w:lvlText w:val="%4."/>
      <w:lvlJc w:val="left"/>
      <w:pPr>
        <w:ind w:left="2803" w:hanging="360"/>
      </w:pPr>
    </w:lvl>
    <w:lvl w:ilvl="4" w:tplc="04160019">
      <w:start w:val="1"/>
      <w:numFmt w:val="lowerLetter"/>
      <w:lvlText w:val="%5."/>
      <w:lvlJc w:val="left"/>
      <w:pPr>
        <w:ind w:left="3523" w:hanging="360"/>
      </w:pPr>
    </w:lvl>
    <w:lvl w:ilvl="5" w:tplc="0416001B">
      <w:start w:val="1"/>
      <w:numFmt w:val="lowerRoman"/>
      <w:lvlText w:val="%6."/>
      <w:lvlJc w:val="right"/>
      <w:pPr>
        <w:ind w:left="4243" w:hanging="180"/>
      </w:pPr>
    </w:lvl>
    <w:lvl w:ilvl="6" w:tplc="0416000F">
      <w:start w:val="1"/>
      <w:numFmt w:val="decimal"/>
      <w:lvlText w:val="%7."/>
      <w:lvlJc w:val="left"/>
      <w:pPr>
        <w:ind w:left="4963" w:hanging="360"/>
      </w:pPr>
    </w:lvl>
    <w:lvl w:ilvl="7" w:tplc="04160019">
      <w:start w:val="1"/>
      <w:numFmt w:val="lowerLetter"/>
      <w:lvlText w:val="%8."/>
      <w:lvlJc w:val="left"/>
      <w:pPr>
        <w:ind w:left="5683" w:hanging="360"/>
      </w:pPr>
    </w:lvl>
    <w:lvl w:ilvl="8" w:tplc="0416001B">
      <w:start w:val="1"/>
      <w:numFmt w:val="lowerRoman"/>
      <w:lvlText w:val="%9."/>
      <w:lvlJc w:val="right"/>
      <w:pPr>
        <w:ind w:left="6403" w:hanging="180"/>
      </w:pPr>
    </w:lvl>
  </w:abstractNum>
  <w:num w:numId="1" w16cid:durableId="1474129897">
    <w:abstractNumId w:val="1"/>
  </w:num>
  <w:num w:numId="2" w16cid:durableId="17692321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35071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63172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50108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606052">
    <w:abstractNumId w:val="5"/>
  </w:num>
  <w:num w:numId="7" w16cid:durableId="1944024107">
    <w:abstractNumId w:val="7"/>
  </w:num>
  <w:num w:numId="8" w16cid:durableId="878057534">
    <w:abstractNumId w:val="3"/>
  </w:num>
  <w:num w:numId="9" w16cid:durableId="1028798650">
    <w:abstractNumId w:val="0"/>
    <w:lvlOverride w:ilvl="0">
      <w:startOverride w:val="1"/>
    </w:lvlOverride>
  </w:num>
  <w:num w:numId="10" w16cid:durableId="1188638094">
    <w:abstractNumId w:val="8"/>
    <w:lvlOverride w:ilvl="0">
      <w:startOverride w:val="1"/>
    </w:lvlOverride>
  </w:num>
  <w:num w:numId="11" w16cid:durableId="2037459559">
    <w:abstractNumId w:val="2"/>
  </w:num>
  <w:num w:numId="12" w16cid:durableId="1501197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8C"/>
    <w:rsid w:val="000208D1"/>
    <w:rsid w:val="00020A63"/>
    <w:rsid w:val="00033987"/>
    <w:rsid w:val="00047169"/>
    <w:rsid w:val="00064223"/>
    <w:rsid w:val="000A4C25"/>
    <w:rsid w:val="000B0139"/>
    <w:rsid w:val="000C00E8"/>
    <w:rsid w:val="000C482A"/>
    <w:rsid w:val="000F0D3A"/>
    <w:rsid w:val="000F18DD"/>
    <w:rsid w:val="00107542"/>
    <w:rsid w:val="00140DA4"/>
    <w:rsid w:val="001F3E82"/>
    <w:rsid w:val="0020096A"/>
    <w:rsid w:val="0020638E"/>
    <w:rsid w:val="00216185"/>
    <w:rsid w:val="002330CD"/>
    <w:rsid w:val="00281757"/>
    <w:rsid w:val="002B3590"/>
    <w:rsid w:val="002C3E6C"/>
    <w:rsid w:val="0031066E"/>
    <w:rsid w:val="00312109"/>
    <w:rsid w:val="00351053"/>
    <w:rsid w:val="00393809"/>
    <w:rsid w:val="003A4B1D"/>
    <w:rsid w:val="003B44EE"/>
    <w:rsid w:val="003D2609"/>
    <w:rsid w:val="00432622"/>
    <w:rsid w:val="00445D34"/>
    <w:rsid w:val="004465B2"/>
    <w:rsid w:val="00463DA5"/>
    <w:rsid w:val="0046616E"/>
    <w:rsid w:val="004800FB"/>
    <w:rsid w:val="004C37DF"/>
    <w:rsid w:val="004D7E8F"/>
    <w:rsid w:val="004E6FA2"/>
    <w:rsid w:val="004F04F0"/>
    <w:rsid w:val="00503C5F"/>
    <w:rsid w:val="00533887"/>
    <w:rsid w:val="00547558"/>
    <w:rsid w:val="00557C08"/>
    <w:rsid w:val="005640CC"/>
    <w:rsid w:val="00570E3B"/>
    <w:rsid w:val="005753CF"/>
    <w:rsid w:val="00581653"/>
    <w:rsid w:val="00582C3D"/>
    <w:rsid w:val="00585526"/>
    <w:rsid w:val="005B3653"/>
    <w:rsid w:val="005D7D4D"/>
    <w:rsid w:val="006043D3"/>
    <w:rsid w:val="0060749D"/>
    <w:rsid w:val="00613553"/>
    <w:rsid w:val="00626A45"/>
    <w:rsid w:val="00640D3C"/>
    <w:rsid w:val="006630FE"/>
    <w:rsid w:val="00676850"/>
    <w:rsid w:val="006D2EB3"/>
    <w:rsid w:val="006F7AA2"/>
    <w:rsid w:val="0071297C"/>
    <w:rsid w:val="00714FC0"/>
    <w:rsid w:val="0072041B"/>
    <w:rsid w:val="007531E2"/>
    <w:rsid w:val="00757074"/>
    <w:rsid w:val="0076225E"/>
    <w:rsid w:val="00796D38"/>
    <w:rsid w:val="007A21A6"/>
    <w:rsid w:val="007A3073"/>
    <w:rsid w:val="007A4374"/>
    <w:rsid w:val="007B79A4"/>
    <w:rsid w:val="007E285B"/>
    <w:rsid w:val="007F0BF7"/>
    <w:rsid w:val="00831E36"/>
    <w:rsid w:val="00855358"/>
    <w:rsid w:val="00860982"/>
    <w:rsid w:val="008643AC"/>
    <w:rsid w:val="00865F29"/>
    <w:rsid w:val="008B0226"/>
    <w:rsid w:val="008B44E7"/>
    <w:rsid w:val="008E5DFA"/>
    <w:rsid w:val="00906738"/>
    <w:rsid w:val="00925183"/>
    <w:rsid w:val="009331B5"/>
    <w:rsid w:val="009553E3"/>
    <w:rsid w:val="009666A1"/>
    <w:rsid w:val="00970B09"/>
    <w:rsid w:val="009930EC"/>
    <w:rsid w:val="009B37EA"/>
    <w:rsid w:val="009B5A0C"/>
    <w:rsid w:val="009D413A"/>
    <w:rsid w:val="00A33732"/>
    <w:rsid w:val="00A50A78"/>
    <w:rsid w:val="00A86346"/>
    <w:rsid w:val="00A92E29"/>
    <w:rsid w:val="00A970F2"/>
    <w:rsid w:val="00AB62B5"/>
    <w:rsid w:val="00AE6274"/>
    <w:rsid w:val="00AE780B"/>
    <w:rsid w:val="00B15F39"/>
    <w:rsid w:val="00B317D2"/>
    <w:rsid w:val="00B44568"/>
    <w:rsid w:val="00B61DF5"/>
    <w:rsid w:val="00B668CB"/>
    <w:rsid w:val="00B71F25"/>
    <w:rsid w:val="00BB0DF4"/>
    <w:rsid w:val="00BB4E14"/>
    <w:rsid w:val="00BD7D8C"/>
    <w:rsid w:val="00BF2E0C"/>
    <w:rsid w:val="00C048A6"/>
    <w:rsid w:val="00C63C74"/>
    <w:rsid w:val="00C9064F"/>
    <w:rsid w:val="00CA553D"/>
    <w:rsid w:val="00CA7876"/>
    <w:rsid w:val="00CC0B96"/>
    <w:rsid w:val="00CE5FFD"/>
    <w:rsid w:val="00D36194"/>
    <w:rsid w:val="00D5131D"/>
    <w:rsid w:val="00D542D5"/>
    <w:rsid w:val="00D62D9B"/>
    <w:rsid w:val="00D978E4"/>
    <w:rsid w:val="00DA0575"/>
    <w:rsid w:val="00DA3992"/>
    <w:rsid w:val="00E26955"/>
    <w:rsid w:val="00E56600"/>
    <w:rsid w:val="00E665CC"/>
    <w:rsid w:val="00E72C0C"/>
    <w:rsid w:val="00E86F58"/>
    <w:rsid w:val="00EE6AF9"/>
    <w:rsid w:val="00F16CE7"/>
    <w:rsid w:val="00F170BE"/>
    <w:rsid w:val="00F26DB2"/>
    <w:rsid w:val="00F44B62"/>
    <w:rsid w:val="00F575CB"/>
    <w:rsid w:val="00F66C2B"/>
    <w:rsid w:val="00F86756"/>
    <w:rsid w:val="00F86DE1"/>
    <w:rsid w:val="00FB318B"/>
    <w:rsid w:val="00FC1F32"/>
    <w:rsid w:val="00FF6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CC9C2"/>
  <w15:docId w15:val="{B69C2C84-1D72-4E07-A903-E1ADE0D8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37E"/>
    <w:rPr>
      <w:rFonts w:eastAsiaTheme="minorEastAsia"/>
    </w:rPr>
  </w:style>
  <w:style w:type="paragraph" w:styleId="Ttulo1">
    <w:name w:val="heading 1"/>
    <w:basedOn w:val="Normal"/>
    <w:next w:val="Corpodetexto"/>
    <w:link w:val="Ttulo1Char"/>
    <w:uiPriority w:val="9"/>
    <w:qFormat/>
    <w:rsid w:val="001B0643"/>
    <w:pPr>
      <w:keepNext/>
      <w:numPr>
        <w:numId w:val="1"/>
      </w:numPr>
      <w:suppressAutoHyphens/>
      <w:spacing w:before="240" w:after="120"/>
      <w:outlineLvl w:val="0"/>
    </w:pPr>
    <w:rPr>
      <w:rFonts w:ascii="Liberation Serif" w:eastAsia="NSimSun" w:hAnsi="Liberation Serif" w:cs="Arial"/>
      <w:b/>
      <w:bCs/>
      <w:kern w:val="2"/>
      <w:sz w:val="48"/>
      <w:szCs w:val="48"/>
      <w:lang w:eastAsia="zh-CN" w:bidi="hi-IN"/>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0723BA"/>
    <w:pPr>
      <w:tabs>
        <w:tab w:val="center" w:pos="4252"/>
        <w:tab w:val="right" w:pos="8504"/>
      </w:tabs>
    </w:pPr>
    <w:rPr>
      <w:rFonts w:eastAsiaTheme="minorHAnsi"/>
      <w:sz w:val="22"/>
      <w:szCs w:val="22"/>
    </w:rPr>
  </w:style>
  <w:style w:type="character" w:customStyle="1" w:styleId="CabealhoChar">
    <w:name w:val="Cabeçalho Char"/>
    <w:basedOn w:val="Fontepargpadro"/>
    <w:link w:val="Cabealho"/>
    <w:uiPriority w:val="99"/>
    <w:rsid w:val="000723BA"/>
  </w:style>
  <w:style w:type="paragraph" w:styleId="Rodap">
    <w:name w:val="footer"/>
    <w:basedOn w:val="Normal"/>
    <w:link w:val="RodapChar"/>
    <w:uiPriority w:val="99"/>
    <w:unhideWhenUsed/>
    <w:rsid w:val="000723BA"/>
    <w:pPr>
      <w:tabs>
        <w:tab w:val="center" w:pos="4252"/>
        <w:tab w:val="right" w:pos="8504"/>
      </w:tabs>
    </w:pPr>
    <w:rPr>
      <w:rFonts w:eastAsiaTheme="minorHAnsi"/>
      <w:sz w:val="22"/>
      <w:szCs w:val="22"/>
    </w:rPr>
  </w:style>
  <w:style w:type="character" w:customStyle="1" w:styleId="RodapChar">
    <w:name w:val="Rodapé Char"/>
    <w:basedOn w:val="Fontepargpadro"/>
    <w:link w:val="Rodap"/>
    <w:uiPriority w:val="99"/>
    <w:rsid w:val="000723BA"/>
  </w:style>
  <w:style w:type="character" w:styleId="Forte">
    <w:name w:val="Strong"/>
    <w:aliases w:val="CORPO TEXTO"/>
    <w:uiPriority w:val="22"/>
    <w:qFormat/>
    <w:rsid w:val="00DA5BCE"/>
    <w:rPr>
      <w:rFonts w:ascii="Garamond" w:hAnsi="Garamond"/>
      <w:b/>
      <w:bCs/>
      <w:color w:val="auto"/>
      <w:sz w:val="28"/>
    </w:rPr>
  </w:style>
  <w:style w:type="character" w:styleId="Hyperlink">
    <w:name w:val="Hyperlink"/>
    <w:basedOn w:val="Fontepargpadro"/>
    <w:uiPriority w:val="99"/>
    <w:unhideWhenUsed/>
    <w:rsid w:val="00F865F5"/>
    <w:rPr>
      <w:color w:val="0563C1" w:themeColor="hyperlink"/>
      <w:u w:val="single"/>
    </w:rPr>
  </w:style>
  <w:style w:type="paragraph" w:customStyle="1" w:styleId="Default">
    <w:name w:val="Default"/>
    <w:rsid w:val="001840BA"/>
    <w:pPr>
      <w:autoSpaceDE w:val="0"/>
      <w:autoSpaceDN w:val="0"/>
      <w:adjustRightInd w:val="0"/>
    </w:pPr>
    <w:rPr>
      <w:rFonts w:ascii="Garamond" w:eastAsiaTheme="minorEastAsia" w:hAnsi="Garamond" w:cs="Garamond"/>
      <w:color w:val="000000"/>
    </w:rPr>
  </w:style>
  <w:style w:type="paragraph" w:styleId="Recuodecorpodetexto">
    <w:name w:val="Body Text Indent"/>
    <w:basedOn w:val="Normal"/>
    <w:link w:val="RecuodecorpodetextoChar"/>
    <w:rsid w:val="001840BA"/>
    <w:pPr>
      <w:ind w:left="708"/>
    </w:pPr>
    <w:rPr>
      <w:rFonts w:ascii="Times New Roman" w:eastAsia="Times New Roman" w:hAnsi="Times New Roman" w:cs="Times New Roman"/>
      <w:sz w:val="20"/>
      <w:szCs w:val="20"/>
    </w:rPr>
  </w:style>
  <w:style w:type="character" w:customStyle="1" w:styleId="RecuodecorpodetextoChar">
    <w:name w:val="Recuo de corpo de texto Char"/>
    <w:basedOn w:val="Fontepargpadro"/>
    <w:link w:val="Recuodecorpodetexto"/>
    <w:rsid w:val="001840BA"/>
    <w:rPr>
      <w:rFonts w:ascii="Times New Roman" w:eastAsia="Times New Roman" w:hAnsi="Times New Roman" w:cs="Times New Roman"/>
      <w:sz w:val="20"/>
      <w:szCs w:val="20"/>
      <w:lang w:eastAsia="pt-BR"/>
    </w:rPr>
  </w:style>
  <w:style w:type="paragraph" w:styleId="PargrafodaLista">
    <w:name w:val="List Paragraph"/>
    <w:basedOn w:val="Normal"/>
    <w:uiPriority w:val="34"/>
    <w:qFormat/>
    <w:rsid w:val="00B53A58"/>
    <w:pPr>
      <w:ind w:left="720"/>
      <w:contextualSpacing/>
    </w:pPr>
  </w:style>
  <w:style w:type="paragraph" w:styleId="Corpodetexto">
    <w:name w:val="Body Text"/>
    <w:basedOn w:val="Normal"/>
    <w:link w:val="CorpodetextoChar"/>
    <w:uiPriority w:val="99"/>
    <w:unhideWhenUsed/>
    <w:rsid w:val="00BE621D"/>
    <w:pPr>
      <w:spacing w:after="120"/>
    </w:pPr>
  </w:style>
  <w:style w:type="character" w:customStyle="1" w:styleId="CorpodetextoChar">
    <w:name w:val="Corpo de texto Char"/>
    <w:basedOn w:val="Fontepargpadro"/>
    <w:link w:val="Corpodetexto"/>
    <w:uiPriority w:val="99"/>
    <w:rsid w:val="00BE621D"/>
    <w:rPr>
      <w:rFonts w:eastAsiaTheme="minorEastAsia"/>
      <w:sz w:val="24"/>
      <w:szCs w:val="24"/>
    </w:rPr>
  </w:style>
  <w:style w:type="character" w:customStyle="1" w:styleId="Ttulo1Char">
    <w:name w:val="Título 1 Char"/>
    <w:basedOn w:val="Fontepargpadro"/>
    <w:link w:val="Ttulo1"/>
    <w:rsid w:val="001B0643"/>
    <w:rPr>
      <w:rFonts w:ascii="Liberation Serif" w:eastAsia="NSimSun" w:hAnsi="Liberation Serif" w:cs="Arial"/>
      <w:b/>
      <w:bCs/>
      <w:kern w:val="2"/>
      <w:sz w:val="48"/>
      <w:szCs w:val="48"/>
      <w:lang w:eastAsia="zh-CN" w:bidi="hi-IN"/>
    </w:rPr>
  </w:style>
  <w:style w:type="character" w:customStyle="1" w:styleId="Caracteresdenotaderodap">
    <w:name w:val="Caracteres de nota de rodapé"/>
    <w:rsid w:val="001B0643"/>
  </w:style>
  <w:style w:type="character" w:styleId="Refdenotaderodap">
    <w:name w:val="footnote reference"/>
    <w:rsid w:val="001B0643"/>
    <w:rPr>
      <w:vertAlign w:val="superscript"/>
    </w:rPr>
  </w:style>
  <w:style w:type="paragraph" w:styleId="Textodenotaderodap">
    <w:name w:val="footnote text"/>
    <w:basedOn w:val="Normal"/>
    <w:link w:val="TextodenotaderodapChar"/>
    <w:rsid w:val="001B0643"/>
    <w:pPr>
      <w:suppressLineNumbers/>
      <w:suppressAutoHyphens/>
      <w:ind w:left="340" w:hanging="340"/>
    </w:pPr>
    <w:rPr>
      <w:rFonts w:ascii="Liberation Serif" w:eastAsia="NSimSun" w:hAnsi="Liberation Serif" w:cs="Arial"/>
      <w:kern w:val="2"/>
      <w:sz w:val="20"/>
      <w:szCs w:val="20"/>
      <w:lang w:eastAsia="zh-CN" w:bidi="hi-IN"/>
    </w:rPr>
  </w:style>
  <w:style w:type="character" w:customStyle="1" w:styleId="TextodenotaderodapChar">
    <w:name w:val="Texto de nota de rodapé Char"/>
    <w:basedOn w:val="Fontepargpadro"/>
    <w:link w:val="Textodenotaderodap"/>
    <w:qFormat/>
    <w:rsid w:val="001B0643"/>
    <w:rPr>
      <w:rFonts w:ascii="Liberation Serif" w:eastAsia="NSimSun" w:hAnsi="Liberation Serif" w:cs="Arial"/>
      <w:kern w:val="2"/>
      <w:sz w:val="20"/>
      <w:szCs w:val="20"/>
      <w:lang w:eastAsia="zh-CN" w:bidi="hi-IN"/>
    </w:rPr>
  </w:style>
  <w:style w:type="paragraph" w:customStyle="1" w:styleId="CORPOHOMERO">
    <w:name w:val="CORPO HOMERO"/>
    <w:basedOn w:val="Normal"/>
    <w:link w:val="CORPOHOMEROChar"/>
    <w:qFormat/>
    <w:rsid w:val="001B0643"/>
    <w:pPr>
      <w:suppressAutoHyphens/>
      <w:spacing w:after="120" w:line="360" w:lineRule="auto"/>
      <w:ind w:firstLine="1134"/>
      <w:jc w:val="both"/>
    </w:pPr>
    <w:rPr>
      <w:rFonts w:ascii="Liberation Serif" w:eastAsia="NSimSun" w:hAnsi="Liberation Serif" w:cs="Arial"/>
      <w:kern w:val="2"/>
      <w:sz w:val="23"/>
      <w:lang w:eastAsia="zh-CN" w:bidi="hi-IN"/>
    </w:rPr>
  </w:style>
  <w:style w:type="paragraph" w:styleId="NormalWeb">
    <w:name w:val="Normal (Web)"/>
    <w:basedOn w:val="Normal"/>
    <w:uiPriority w:val="99"/>
    <w:unhideWhenUsed/>
    <w:rsid w:val="001B0643"/>
    <w:pPr>
      <w:spacing w:before="100" w:beforeAutospacing="1" w:after="100" w:afterAutospacing="1"/>
    </w:pPr>
    <w:rPr>
      <w:rFonts w:ascii="Times New Roman" w:eastAsia="Times New Roman" w:hAnsi="Times New Roman" w:cs="Times New Roman"/>
    </w:rPr>
  </w:style>
  <w:style w:type="paragraph" w:customStyle="1" w:styleId="garamond">
    <w:name w:val="garamond"/>
    <w:basedOn w:val="Normal"/>
    <w:link w:val="garamondChar"/>
    <w:qFormat/>
    <w:rsid w:val="00084220"/>
    <w:pPr>
      <w:spacing w:line="360" w:lineRule="auto"/>
      <w:ind w:firstLine="2835"/>
      <w:jc w:val="both"/>
    </w:pPr>
    <w:rPr>
      <w:rFonts w:ascii="Garamond" w:eastAsia="Times New Roman" w:hAnsi="Garamond" w:cs="Times New Roman"/>
      <w:sz w:val="28"/>
      <w:szCs w:val="28"/>
    </w:rPr>
  </w:style>
  <w:style w:type="character" w:customStyle="1" w:styleId="garamondChar">
    <w:name w:val="garamond Char"/>
    <w:link w:val="garamond"/>
    <w:rsid w:val="00084220"/>
    <w:rPr>
      <w:rFonts w:ascii="Garamond" w:eastAsia="Times New Roman" w:hAnsi="Garamond" w:cs="Times New Roman"/>
      <w:sz w:val="28"/>
      <w:szCs w:val="28"/>
    </w:rPr>
  </w:style>
  <w:style w:type="character" w:customStyle="1" w:styleId="Fontepargpadro1">
    <w:name w:val="Fonte parág. padrão1"/>
    <w:rsid w:val="0039016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oPendente">
    <w:name w:val="Unresolved Mention"/>
    <w:basedOn w:val="Fontepargpadro"/>
    <w:uiPriority w:val="99"/>
    <w:semiHidden/>
    <w:unhideWhenUsed/>
    <w:rsid w:val="0072041B"/>
    <w:rPr>
      <w:color w:val="605E5C"/>
      <w:shd w:val="clear" w:color="auto" w:fill="E1DFDD"/>
    </w:rPr>
  </w:style>
  <w:style w:type="paragraph" w:customStyle="1" w:styleId="paragrafopadrao">
    <w:name w:val="paragrafopadrao"/>
    <w:basedOn w:val="Normal"/>
    <w:rsid w:val="003B44EE"/>
    <w:pPr>
      <w:spacing w:before="100" w:beforeAutospacing="1" w:after="100" w:afterAutospacing="1"/>
    </w:pPr>
    <w:rPr>
      <w:rFonts w:ascii="Times New Roman" w:eastAsia="Times New Roman" w:hAnsi="Times New Roman" w:cs="Times New Roman"/>
    </w:rPr>
  </w:style>
  <w:style w:type="character" w:customStyle="1" w:styleId="dispositivo">
    <w:name w:val="dispositivo"/>
    <w:basedOn w:val="Fontepargpadro"/>
    <w:rsid w:val="003B44EE"/>
  </w:style>
  <w:style w:type="paragraph" w:customStyle="1" w:styleId="Ttulo11">
    <w:name w:val="Título 11"/>
    <w:basedOn w:val="Normal"/>
    <w:uiPriority w:val="1"/>
    <w:qFormat/>
    <w:rsid w:val="003B44EE"/>
    <w:pPr>
      <w:widowControl w:val="0"/>
      <w:autoSpaceDE w:val="0"/>
      <w:autoSpaceDN w:val="0"/>
      <w:ind w:left="-1"/>
      <w:outlineLvl w:val="1"/>
    </w:pPr>
    <w:rPr>
      <w:rFonts w:ascii="Cambria" w:eastAsia="Cambria" w:hAnsi="Cambria" w:cs="Cambria"/>
      <w:b/>
      <w:bCs/>
      <w:lang w:val="pt-PT" w:eastAsia="en-US"/>
    </w:rPr>
  </w:style>
  <w:style w:type="table" w:styleId="Tabelacomgrade">
    <w:name w:val="Table Grid"/>
    <w:basedOn w:val="Tabelanormal"/>
    <w:uiPriority w:val="59"/>
    <w:rsid w:val="003B44E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uiPriority w:val="99"/>
    <w:unhideWhenUsed/>
    <w:rsid w:val="006D2EB3"/>
  </w:style>
  <w:style w:type="character" w:customStyle="1" w:styleId="CORPOHOMEROChar">
    <w:name w:val="CORPO HOMERO Char"/>
    <w:basedOn w:val="Fontepargpadro"/>
    <w:link w:val="CORPOHOMERO"/>
    <w:rsid w:val="004D7E8F"/>
    <w:rPr>
      <w:rFonts w:ascii="Liberation Serif" w:eastAsia="NSimSun" w:hAnsi="Liberation Serif" w:cs="Arial"/>
      <w:kern w:val="2"/>
      <w:sz w:val="2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0449">
      <w:bodyDiv w:val="1"/>
      <w:marLeft w:val="0"/>
      <w:marRight w:val="0"/>
      <w:marTop w:val="0"/>
      <w:marBottom w:val="0"/>
      <w:divBdr>
        <w:top w:val="none" w:sz="0" w:space="0" w:color="auto"/>
        <w:left w:val="none" w:sz="0" w:space="0" w:color="auto"/>
        <w:bottom w:val="none" w:sz="0" w:space="0" w:color="auto"/>
        <w:right w:val="none" w:sz="0" w:space="0" w:color="auto"/>
      </w:divBdr>
    </w:div>
    <w:div w:id="215629871">
      <w:bodyDiv w:val="1"/>
      <w:marLeft w:val="0"/>
      <w:marRight w:val="0"/>
      <w:marTop w:val="0"/>
      <w:marBottom w:val="0"/>
      <w:divBdr>
        <w:top w:val="none" w:sz="0" w:space="0" w:color="auto"/>
        <w:left w:val="none" w:sz="0" w:space="0" w:color="auto"/>
        <w:bottom w:val="none" w:sz="0" w:space="0" w:color="auto"/>
        <w:right w:val="none" w:sz="0" w:space="0" w:color="auto"/>
      </w:divBdr>
    </w:div>
    <w:div w:id="445973899">
      <w:bodyDiv w:val="1"/>
      <w:marLeft w:val="0"/>
      <w:marRight w:val="0"/>
      <w:marTop w:val="0"/>
      <w:marBottom w:val="0"/>
      <w:divBdr>
        <w:top w:val="none" w:sz="0" w:space="0" w:color="auto"/>
        <w:left w:val="none" w:sz="0" w:space="0" w:color="auto"/>
        <w:bottom w:val="none" w:sz="0" w:space="0" w:color="auto"/>
        <w:right w:val="none" w:sz="0" w:space="0" w:color="auto"/>
      </w:divBdr>
    </w:div>
    <w:div w:id="627593365">
      <w:bodyDiv w:val="1"/>
      <w:marLeft w:val="0"/>
      <w:marRight w:val="0"/>
      <w:marTop w:val="0"/>
      <w:marBottom w:val="0"/>
      <w:divBdr>
        <w:top w:val="none" w:sz="0" w:space="0" w:color="auto"/>
        <w:left w:val="none" w:sz="0" w:space="0" w:color="auto"/>
        <w:bottom w:val="none" w:sz="0" w:space="0" w:color="auto"/>
        <w:right w:val="none" w:sz="0" w:space="0" w:color="auto"/>
      </w:divBdr>
    </w:div>
    <w:div w:id="820273117">
      <w:bodyDiv w:val="1"/>
      <w:marLeft w:val="0"/>
      <w:marRight w:val="0"/>
      <w:marTop w:val="0"/>
      <w:marBottom w:val="0"/>
      <w:divBdr>
        <w:top w:val="none" w:sz="0" w:space="0" w:color="auto"/>
        <w:left w:val="none" w:sz="0" w:space="0" w:color="auto"/>
        <w:bottom w:val="none" w:sz="0" w:space="0" w:color="auto"/>
        <w:right w:val="none" w:sz="0" w:space="0" w:color="auto"/>
      </w:divBdr>
    </w:div>
    <w:div w:id="864447073">
      <w:bodyDiv w:val="1"/>
      <w:marLeft w:val="0"/>
      <w:marRight w:val="0"/>
      <w:marTop w:val="0"/>
      <w:marBottom w:val="0"/>
      <w:divBdr>
        <w:top w:val="none" w:sz="0" w:space="0" w:color="auto"/>
        <w:left w:val="none" w:sz="0" w:space="0" w:color="auto"/>
        <w:bottom w:val="none" w:sz="0" w:space="0" w:color="auto"/>
        <w:right w:val="none" w:sz="0" w:space="0" w:color="auto"/>
      </w:divBdr>
    </w:div>
    <w:div w:id="1282178537">
      <w:bodyDiv w:val="1"/>
      <w:marLeft w:val="0"/>
      <w:marRight w:val="0"/>
      <w:marTop w:val="0"/>
      <w:marBottom w:val="0"/>
      <w:divBdr>
        <w:top w:val="none" w:sz="0" w:space="0" w:color="auto"/>
        <w:left w:val="none" w:sz="0" w:space="0" w:color="auto"/>
        <w:bottom w:val="none" w:sz="0" w:space="0" w:color="auto"/>
        <w:right w:val="none" w:sz="0" w:space="0" w:color="auto"/>
      </w:divBdr>
    </w:div>
    <w:div w:id="1338268397">
      <w:bodyDiv w:val="1"/>
      <w:marLeft w:val="0"/>
      <w:marRight w:val="0"/>
      <w:marTop w:val="0"/>
      <w:marBottom w:val="0"/>
      <w:divBdr>
        <w:top w:val="none" w:sz="0" w:space="0" w:color="auto"/>
        <w:left w:val="none" w:sz="0" w:space="0" w:color="auto"/>
        <w:bottom w:val="none" w:sz="0" w:space="0" w:color="auto"/>
        <w:right w:val="none" w:sz="0" w:space="0" w:color="auto"/>
      </w:divBdr>
    </w:div>
    <w:div w:id="1498307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mailto:adv.simonemurta@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QqS/BMtqbpfhwy/MDYyrbz95vQ==">CgMxLjA4AHIhMUo5ZGt3b2VzZGwwTkYxRGdrSHU4ZUJseGZyejJ5UnJV</go:docsCustomData>
</go:gDocsCustomXmlDataStorage>
</file>

<file path=customXml/itemProps1.xml><?xml version="1.0" encoding="utf-8"?>
<ds:datastoreItem xmlns:ds="http://schemas.openxmlformats.org/officeDocument/2006/customXml" ds:itemID="{E822572D-D5DA-4E90-BC75-260BEC575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14</Words>
  <Characters>78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dc:creator>
  <cp:lastModifiedBy>Simone Murta</cp:lastModifiedBy>
  <cp:revision>23</cp:revision>
  <cp:lastPrinted>2026-03-13T19:54:00Z</cp:lastPrinted>
  <dcterms:created xsi:type="dcterms:W3CDTF">2026-03-13T13:35:00Z</dcterms:created>
  <dcterms:modified xsi:type="dcterms:W3CDTF">2026-04-01T12:20:00Z</dcterms:modified>
</cp:coreProperties>
</file>