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AO JUÍZO DA 20ª VARA DO SISTEMA DOS JUIZADOS ESPECIAIS DO CONSUMIDOR DA COMARCA DE SALVADOR – BA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Processo n.º: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0133250-09.2026.8.05.0001 (PROJUDI/TJBA)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Ação: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Obrigação de Fazer c/c Danos Materiais e Indenização por Danos Morais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Recorrente: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SIMONE MURTA MARTINS (advogada em causa própria)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Recorridas: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240" w:after="24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RECURSO INOMINADO, COM PEDIDO DE GRATUIDADE DE JUSTIÇA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SIMONE MURTA MARTINS</w:t>
      </w:r>
      <w:r>
        <w:rPr>
          <w:rFonts w:ascii="Arial" w:eastAsia="Arial" w:hAnsi="Arial" w:cs="Arial"/>
          <w:color w:val="000000"/>
        </w:rPr>
        <w:t xml:space="preserve">, já qualificada nos autos, advogada postulante em causa própria (art. 103, parágrafo único, do CPC), inconformada com a sentença publicada em 29/09/2026, que julgou improcedente a ação, vem, com fundamento nos arts. 41 e 42 da Lei n.º 9.099/1995, interpor </w:t>
      </w:r>
      <w:r>
        <w:rPr>
          <w:rFonts w:ascii="Arial" w:eastAsia="Arial" w:hAnsi="Arial" w:cs="Arial"/>
          <w:b/>
          <w:bCs/>
          <w:color w:val="000000"/>
        </w:rPr>
        <w:t xml:space="preserve">RECURSO INOMINADO</w:t>
      </w:r>
      <w:r>
        <w:rPr>
          <w:rFonts w:ascii="Arial" w:eastAsia="Arial" w:hAnsi="Arial" w:cs="Arial"/>
          <w:color w:val="000000"/>
        </w:rPr>
        <w:t xml:space="preserve"> para a Turma Recursal, pelas razões a seguir, requerendo o seu recebimento e a remessa dos autos ao Colegiado.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 – DA TEMPESTIVIDADE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foi disponibilizada no Diário da Justiça Eletrônico em 28/09/2026 e publicada em 29/09/2026. O prazo de 10 (dez) dias úteis (arts. 42 e 12-A da Lei n.º 9.099/1995) está em curso, sendo tempestivo o presente recurso.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II – DO PEDIDO DE GRATUIDADE DE JUSTIÇA E DA DISPENSA DE PREPARO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Em primeiro grau, o acesso ao Juizado independe do pagamento de custas (art. 54 da Lei n.º 9.099/1995), razão pela qual não houve, até aqui, necessidade de requerer a gratuidade. O preparo recursal, contudo, compreende todas as despesas processuais e tem </w:t>
      </w:r>
      <w:r>
        <w:rPr>
          <w:rFonts w:ascii="Arial" w:eastAsia="Arial" w:hAnsi="Arial" w:cs="Arial"/>
          <w:b/>
          <w:bCs/>
          <w:color w:val="000000"/>
        </w:rPr>
        <w:t xml:space="preserve">ressalva expressa para a hipótese de assistência judiciária gratuita</w:t>
      </w:r>
      <w:r>
        <w:rPr>
          <w:rFonts w:ascii="Arial" w:eastAsia="Arial" w:hAnsi="Arial" w:cs="Arial"/>
          <w:color w:val="000000"/>
        </w:rPr>
        <w:t xml:space="preserve"> (art. 54, parágrafo único, da Lei n.º 9.099/1995).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gratuidade pode ser requerida em recurso (art. 99, caput, do CPC), hipótese em que o recorrente fica dispensado de comprovar o recolhimento do preparo, cabendo ao relator apreciar o pedido e, se o indeferir, fixar prazo para o recolhimento (art. 99, § 7º, do CPC). A alegação de insuficiência deduzida por pessoa natural presume-se verdadeira (art. 99, § 3º), e o fato de a parte ser advogada, postulando em causa própria, não impede a concessão do benefício (art. 99, § 4º).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Recorrente é advogada e a atividade advocatícia ainda não lhe garante, por si só, o sustento. A renda mensal média que dela aufere é de aproximadamente </w:t>
      </w:r>
      <w:r>
        <w:rPr>
          <w:rFonts w:ascii="Arial" w:eastAsia="Arial" w:hAnsi="Arial" w:cs="Arial"/>
          <w:b/>
          <w:bCs/>
          <w:color w:val="000000"/>
        </w:rPr>
        <w:t xml:space="preserve">R$ 5.000,00 (cinco mil reais)</w:t>
      </w:r>
      <w:r>
        <w:rPr>
          <w:rFonts w:ascii="Arial" w:eastAsia="Arial" w:hAnsi="Arial" w:cs="Arial"/>
          <w:color w:val="000000"/>
        </w:rPr>
        <w:t xml:space="preserve">, valor que não comporta o custeio do preparo recursal e das despesas do processo sem prejuízo do seu próprio sustento. Para comprovar a alegação, junta: (i) declaração de hipossuficiência econômica (Doc. 1); e (ii) o documento de arrecadação do Simples Nacional da sociedade individual de advocacia, referente à competência de julho/2026, e o respectivo comprovante de agendamento do pagamento (Doc. 2), que evidenciam a dimensão modesta da atividade e o cumprimento regular das obrigações tributárias.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Requer, assim, a concessão da gratuidade de justiça para o recurso, com a dispensa do preparo e das demais despesas processuais, inclusive as decorrentes de eventual sucumbência (art. 98, § 3º, do CPC).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III – SÍNTESE DA DEMANDA E DA SENTENÇA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Recorrente adquiriu, em 01/03/2026, quatro cadeiras da fabricante Herval, no site da Ferreira Costa (R$ 399,90 cada), com garantia de 6 meses. Ao montar o produto, constatou vício oculto de fabricação em uma unidade: o parafuso rompeu-se no interior da estrutura de madeira. Reclamou às duas Recorridas, que se remeteram mutuamente a responsabilidade e não solucionaram o vício no prazo de 30 dias do art. 18, § 1º, do CDC. A ação foi ajuizada em 18/06/2026 e pediu a substituição do produto, a restituição subsidiária e a indenização por danos morais (R$ 10.000,00) pela perda do tempo útil.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substituição da cadeira somente ocorreu em 15/07/2026, isto é, </w:t>
      </w:r>
      <w:r>
        <w:rPr>
          <w:rFonts w:ascii="Arial" w:eastAsia="Arial" w:hAnsi="Arial" w:cs="Arial"/>
          <w:b/>
          <w:bCs/>
          <w:color w:val="000000"/>
        </w:rPr>
        <w:t xml:space="preserve">depois do ajuizamento</w:t>
      </w:r>
      <w:r>
        <w:rPr>
          <w:rFonts w:ascii="Arial" w:eastAsia="Arial" w:hAnsi="Arial" w:cs="Arial"/>
          <w:color w:val="000000"/>
        </w:rPr>
        <w:t xml:space="preserve">. A Recorrente reconheceu o fato superveniente (art. 493 do CPC) quanto aos pedidos de obrigação de fazer e de restituição, mantendo o pedido de danos morais. A sentença julgou a ação improcedente por entender que a controvérsia foi resolvida na fase administrativa </w:t>
      </w:r>
      <w:r>
        <w:rPr>
          <w:rFonts w:ascii="Arial" w:eastAsia="Arial" w:hAnsi="Arial" w:cs="Arial"/>
          <w:b/>
          <w:bCs/>
          <w:color w:val="000000"/>
        </w:rPr>
        <w:t xml:space="preserve">[CONFERIR: transcrever aqui o trecho da sentença e o evento]</w:t>
      </w:r>
      <w:r>
        <w:rPr>
          <w:rFonts w:ascii="Arial" w:eastAsia="Arial" w:hAnsi="Arial" w:cs="Arial"/>
          <w:color w:val="000000"/>
        </w:rPr>
        <w:t xml:space="preserve">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 – DAS RAZÕES DO RECURSO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IV.1 – A premissa da sentença é contrariada pelos autos: não houve solução administrativa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cronologia documentada nos autos demonstra que a substituição só foi providenciada depois de esgotadas as tentativas de solução extrajudicial e de proposta a ação: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a) </w:t>
      </w:r>
      <w:r>
        <w:rPr>
          <w:rFonts w:ascii="Arial" w:eastAsia="Arial" w:hAnsi="Arial" w:cs="Arial"/>
          <w:b/>
          <w:bCs/>
          <w:color w:val="000000"/>
        </w:rPr>
        <w:t xml:space="preserve">30/03/2026</w:t>
      </w:r>
      <w:r>
        <w:rPr>
          <w:rFonts w:ascii="Arial" w:eastAsia="Arial" w:hAnsi="Arial" w:cs="Arial"/>
          <w:color w:val="000000"/>
        </w:rPr>
        <w:t xml:space="preserve"> – primeiro contato da Recorrente, pelo WhatsApp da loja online oficial do grupo Herval, relatando o defeito; recusa e redirecionamento à assistência;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b) </w:t>
      </w:r>
      <w:r>
        <w:rPr>
          <w:rFonts w:ascii="Arial" w:eastAsia="Arial" w:hAnsi="Arial" w:cs="Arial"/>
          <w:b/>
          <w:bCs/>
          <w:color w:val="000000"/>
        </w:rPr>
        <w:t xml:space="preserve">02/04/2026</w:t>
      </w:r>
      <w:r>
        <w:rPr>
          <w:rFonts w:ascii="Arial" w:eastAsia="Arial" w:hAnsi="Arial" w:cs="Arial"/>
          <w:color w:val="000000"/>
        </w:rPr>
        <w:t xml:space="preserve"> – reclamação à Ferreira Costa (ticket n.º 2031671). A resposta do SAC, no mesmo dia, foi uma </w:t>
      </w:r>
      <w:r>
        <w:rPr>
          <w:rFonts w:ascii="Arial" w:eastAsia="Arial" w:hAnsi="Arial" w:cs="Arial"/>
          <w:b/>
          <w:bCs/>
          <w:color w:val="000000"/>
        </w:rPr>
        <w:t xml:space="preserve">recusa expressa</w:t>
      </w:r>
      <w:r>
        <w:rPr>
          <w:rFonts w:ascii="Arial" w:eastAsia="Arial" w:hAnsi="Arial" w:cs="Arial"/>
          <w:color w:val="000000"/>
        </w:rPr>
        <w:t xml:space="preserve">: “Sua troca/devolução não poderá ser realizada porque o produto não atendeu as exigências necessárias conforme nossa política de devolução”, com base em prazo de 7 dias corridos. A Recorrente respondeu às 09:20, esclarecendo tratar-se de vício oculto (art. 26, § 3º, do CDC). </w:t>
      </w:r>
      <w:r>
        <w:rPr>
          <w:rFonts w:ascii="Arial" w:eastAsia="Arial" w:hAnsi="Arial" w:cs="Arial"/>
          <w:b/>
          <w:bCs/>
          <w:color w:val="000000"/>
        </w:rPr>
        <w:t xml:space="preserve">Não houve retorno</w:t>
      </w:r>
      <w:r>
        <w:rPr>
          <w:rFonts w:ascii="Arial" w:eastAsia="Arial" w:hAnsi="Arial" w:cs="Arial"/>
          <w:color w:val="000000"/>
        </w:rPr>
        <w:t xml:space="preserve"> (prova documental juntada com a inicial);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c) </w:t>
      </w:r>
      <w:r>
        <w:rPr>
          <w:rFonts w:ascii="Arial" w:eastAsia="Arial" w:hAnsi="Arial" w:cs="Arial"/>
          <w:b/>
          <w:bCs/>
          <w:color w:val="000000"/>
        </w:rPr>
        <w:t xml:space="preserve">02/04/2026</w:t>
      </w:r>
      <w:r>
        <w:rPr>
          <w:rFonts w:ascii="Arial" w:eastAsia="Arial" w:hAnsi="Arial" w:cs="Arial"/>
          <w:color w:val="000000"/>
        </w:rPr>
        <w:t xml:space="preserve"> – e-mail ao fabricante, com fotos, nota fiscal e garantia. </w:t>
      </w:r>
      <w:r>
        <w:rPr>
          <w:rFonts w:ascii="Arial" w:eastAsia="Arial" w:hAnsi="Arial" w:cs="Arial"/>
          <w:b/>
          <w:bCs/>
          <w:color w:val="000000"/>
        </w:rPr>
        <w:t xml:space="preserve">Sem resposta</w:t>
      </w:r>
      <w:r>
        <w:rPr>
          <w:rFonts w:ascii="Arial" w:eastAsia="Arial" w:hAnsi="Arial" w:cs="Arial"/>
          <w:color w:val="000000"/>
        </w:rPr>
        <w:t xml:space="preserve"> (prova documental juntada com a inicial);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d) </w:t>
      </w:r>
      <w:r>
        <w:rPr>
          <w:rFonts w:ascii="Arial" w:eastAsia="Arial" w:hAnsi="Arial" w:cs="Arial"/>
          <w:b/>
          <w:bCs/>
          <w:color w:val="000000"/>
        </w:rPr>
        <w:t xml:space="preserve">07 e 08/04/2026</w:t>
      </w:r>
      <w:r>
        <w:rPr>
          <w:rFonts w:ascii="Arial" w:eastAsia="Arial" w:hAnsi="Arial" w:cs="Arial"/>
          <w:color w:val="000000"/>
        </w:rPr>
        <w:t xml:space="preserve"> – contato com a assistência técnica da Herval, que respondeu: “Deves direcionar-se até a loja ao qual foi efetuada a compra”, e, em seguida, que “fábrica apenas atenderá diretamente ao consumidor final o que se tratar de compras em sites como Casas Bahia, Extra e Koerich, demais lojas o atendimento é diretamente com o vendedor” (prova documental juntada com a inicial);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e) </w:t>
      </w:r>
      <w:r>
        <w:rPr>
          <w:rFonts w:ascii="Arial" w:eastAsia="Arial" w:hAnsi="Arial" w:cs="Arial"/>
          <w:b/>
          <w:bCs/>
          <w:color w:val="000000"/>
        </w:rPr>
        <w:t xml:space="preserve">08/04/2026</w:t>
      </w:r>
      <w:r>
        <w:rPr>
          <w:rFonts w:ascii="Arial" w:eastAsia="Arial" w:hAnsi="Arial" w:cs="Arial"/>
          <w:color w:val="000000"/>
        </w:rPr>
        <w:t xml:space="preserve"> – a Recorrente reencaminhou a resposta da Herval à Ferreira Costa, que registrou o protocolo n.º 2035542 e prometeu o prazo de </w:t>
      </w:r>
      <w:r>
        <w:rPr>
          <w:rFonts w:ascii="Arial" w:eastAsia="Arial" w:hAnsi="Arial" w:cs="Arial"/>
          <w:b/>
          <w:bCs/>
          <w:color w:val="000000"/>
        </w:rPr>
        <w:t xml:space="preserve">5 dias úteis</w:t>
      </w:r>
      <w:r>
        <w:rPr>
          <w:rFonts w:ascii="Arial" w:eastAsia="Arial" w:hAnsi="Arial" w:cs="Arial"/>
          <w:color w:val="000000"/>
        </w:rPr>
        <w:t xml:space="preserve"> para troca de mercadorias. </w:t>
      </w:r>
      <w:r>
        <w:rPr>
          <w:rFonts w:ascii="Arial" w:eastAsia="Arial" w:hAnsi="Arial" w:cs="Arial"/>
          <w:b/>
          <w:bCs/>
          <w:color w:val="000000"/>
        </w:rPr>
        <w:t xml:space="preserve">A partir daí, a Ferreira Costa não respondeu mais</w:t>
      </w:r>
      <w:r>
        <w:rPr>
          <w:rFonts w:ascii="Arial" w:eastAsia="Arial" w:hAnsi="Arial" w:cs="Arial"/>
          <w:color w:val="000000"/>
        </w:rPr>
        <w:t xml:space="preserve"> (prova documental juntada com a inicial);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f) </w:t>
      </w:r>
      <w:r>
        <w:rPr>
          <w:rFonts w:ascii="Arial" w:eastAsia="Arial" w:hAnsi="Arial" w:cs="Arial"/>
          <w:b/>
          <w:bCs/>
          <w:color w:val="000000"/>
        </w:rPr>
        <w:t xml:space="preserve">18/06/2026</w:t>
      </w:r>
      <w:r>
        <w:rPr>
          <w:rFonts w:ascii="Arial" w:eastAsia="Arial" w:hAnsi="Arial" w:cs="Arial"/>
          <w:color w:val="000000"/>
        </w:rPr>
        <w:t xml:space="preserve"> – ajuizamento da ação, 77 dias após a primeira reclamação formal;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g) </w:t>
      </w:r>
      <w:r>
        <w:rPr>
          <w:rFonts w:ascii="Arial" w:eastAsia="Arial" w:hAnsi="Arial" w:cs="Arial"/>
          <w:b/>
          <w:bCs/>
          <w:color w:val="000000"/>
        </w:rPr>
        <w:t xml:space="preserve">15/07/2026</w:t>
      </w:r>
      <w:r>
        <w:rPr>
          <w:rFonts w:ascii="Arial" w:eastAsia="Arial" w:hAnsi="Arial" w:cs="Arial"/>
          <w:color w:val="000000"/>
        </w:rPr>
        <w:t xml:space="preserve"> – substituição efetivada (NF-e n.º 2.034.024), 27 dias após o ajuizamento e </w:t>
      </w:r>
      <w:r>
        <w:rPr>
          <w:rFonts w:ascii="Arial" w:eastAsia="Arial" w:hAnsi="Arial" w:cs="Arial"/>
          <w:b/>
          <w:bCs/>
          <w:color w:val="000000"/>
        </w:rPr>
        <w:t xml:space="preserve">104 dias após a reclamação de 02/04/2026</w:t>
      </w:r>
      <w:r>
        <w:rPr>
          <w:rFonts w:ascii="Arial" w:eastAsia="Arial" w:hAnsi="Arial" w:cs="Arial"/>
          <w:color w:val="000000"/>
        </w:rPr>
        <w:t xml:space="preserve"> (107 dias contados do primeiro contato, em 30/03/2026).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As próprias Recorridas confirmam a versão. A Ferreira Costa afirmou, na contestação, que “mesmo após o ajuizamento” confirmou o interesse da Recorrente e “concluiu a troca em 15/07/2026”. A Herval afirmou que autorizou a substituição em 12/06/2026, isto é, 71 dias depois da primeira reclamação formal. Não houve, portanto, solução na esfera administrativa, mas troca de mensagens em que cada fornecedora devolveu à outra a responsabilidade, até que a via judicial foi aberta.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IV.2 – O fato superveniente extingue os pedidos de fazer, mas não afasta o dano moral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 art. 493 do CPC manda considerar o fato superveniente que influa no julgamento. A troca do produto influi nos pedidos de substituição e de restituição, que ficam prejudicados, como a Recorrente reconheceu. Ela não elimina, contudo, o dano moral, que decorre da </w:t>
      </w:r>
      <w:r>
        <w:rPr>
          <w:rFonts w:ascii="Arial" w:eastAsia="Arial" w:hAnsi="Arial" w:cs="Arial"/>
          <w:b/>
          <w:bCs/>
          <w:color w:val="000000"/>
        </w:rPr>
        <w:t xml:space="preserve">conduta pretérita</w:t>
      </w:r>
      <w:r>
        <w:rPr>
          <w:rFonts w:ascii="Arial" w:eastAsia="Arial" w:hAnsi="Arial" w:cs="Arial"/>
          <w:color w:val="000000"/>
        </w:rPr>
        <w:t xml:space="preserve"> das Recorridas: a recusa da troca, o redirecionamento recíproco e a inércia por mais de três meses. O ilícito e o dano já estavam consumados quando a obrigação foi cumprida.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Se a solução só veio depois do ajuizamento, isso confirma que a demanda foi necessária, e não que o conflito estivesse resolvido. A perda do objeto por ato das próprias Recorridas, após a propositura, não as exime da reparação. Ao contrário, é a regra da causalidade que orienta o processo civil nesses casos, ao atribuir os ônus a quem deu causa à demanda (art. 85, § 10, do CPC, aplicado por analogia).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IV.3 – O vício, o prazo legal e a responsabilidade solidária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 rompimento do parafuso no interior da estrutura, durante a montagem regular, é vício oculto de qualidade (art. 18, caput, do CDC), cujo prazo decadencial só começa a correr quando evidenciado o defeito (art. 26, § 3º). Reclamado o vício em 02/04/2026, o prazo de 30 dias para saná-lo (art. 18, § 1º) esgotou-se em 02/05/2026, e a substituição só foi feita 74 dias depois.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política interna de 7 dias invocada pela Ferreira Costa corresponde ao direito de arrependimento (art. 49 do CDC), instituto distinto do vício do produto, e não pode reduzir a garantia legal. Vendedora e fabricante respondem solidariamente pelo vício (art. 18, caput, e art. 7º, parágrafo único, do CDC), sendo irrelevante perante a consumidora a divisão interna de atribuições que invocaram para se eximir do atendimento.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IV.4 – O dano moral pelo desvio produtivo do consumidor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conduta das Recorridas ultrapassa o mero aborrecimento. A consumidora, por vício a que não deu causa, foi obrigada a peregrinar entre vendedora e fabricante, por WhatsApp, e-mails, ticket e protocolo, ao longo de mais de três meses, sem que nenhuma delas assumisse a solução, e permaneceu com o conjunto de jantar incompleto e um móvel defeituoso em casa. Trata-se da perda injusta e intolerável do tempo útil do consumidor, que a jurisprudência do Superior Tribunal de Justiça reconhece como dano indenizável (teoria do desvio produtivo), conforme os REsp 1.634.851/RJ (Rel. Min. Nancy Andrighi, Terceira Turma, DJe 15/02/2018) e REsp 1.737.412/SE (Rel. Min. Nancy Andrighi, Terceira Turma, DJe 08/02/2019).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tese da Ferreira Costa, de que apenas “prosseguiu no atendimento”, é desmentida pelo próprio SAC, que recusou a troca no primeiro dia e não respondeu mais depois do protocolo de 08/04/2026. A tese da Herval, de que “jamais recusou” a substituição, é desmentida pela resposta da sua assistência técnica, que mandou a consumidora de volta à loja e declarou que a fábrica não atenderia diretamente o consumidor. Cada uma delas ignorou a solidariedade que a lei lhes impõe.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 valor de R$ 10.000,00 é adequado e proporcional à dupla função, compensatória e pedagógica, da indenização, diante do porte econômico das Recorridas e da reiteração da conduta. Subsidiariamente, requer-se o arbitramento em valor que o Colegiado considerar justo.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V – DOS PEDIDOS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Ante o exposto, requer a Recorrente: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1. a concessão da </w:t>
      </w:r>
      <w:r>
        <w:rPr>
          <w:rFonts w:ascii="Arial" w:eastAsia="Arial" w:hAnsi="Arial" w:cs="Arial"/>
          <w:b/>
          <w:bCs/>
          <w:color w:val="000000"/>
        </w:rPr>
        <w:t xml:space="preserve">gratuidade de justiça</w:t>
      </w:r>
      <w:r>
        <w:rPr>
          <w:rFonts w:ascii="Arial" w:eastAsia="Arial" w:hAnsi="Arial" w:cs="Arial"/>
          <w:color w:val="000000"/>
        </w:rPr>
        <w:t xml:space="preserve"> para o presente recurso, com a dispensa do preparo (art. 99, § 7º, do CPC e art. 54, parágrafo único, da Lei n.º 9.099/1995), e, caso o pedido seja indeferido, a fixação de prazo para o recolhimento;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2. o conhecimento e o </w:t>
      </w:r>
      <w:r>
        <w:rPr>
          <w:rFonts w:ascii="Arial" w:eastAsia="Arial" w:hAnsi="Arial" w:cs="Arial"/>
          <w:b/>
          <w:bCs/>
          <w:color w:val="000000"/>
        </w:rPr>
        <w:t xml:space="preserve">provimento do recurso</w:t>
      </w:r>
      <w:r>
        <w:rPr>
          <w:rFonts w:ascii="Arial" w:eastAsia="Arial" w:hAnsi="Arial" w:cs="Arial"/>
          <w:color w:val="000000"/>
        </w:rPr>
        <w:t xml:space="preserve">, para reformar a sentença;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3. o reconhecimento de que a substituição do produto, em 15/07/2026, prejudicou apenas os pedidos de obrigação de fazer e de restituição, sem repercussão sobre o pedido indenizatório;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4. a </w:t>
      </w:r>
      <w:r>
        <w:rPr>
          <w:rFonts w:ascii="Arial" w:eastAsia="Arial" w:hAnsi="Arial" w:cs="Arial"/>
          <w:b/>
          <w:bCs/>
          <w:color w:val="000000"/>
        </w:rPr>
        <w:t xml:space="preserve">condenação solidária das Recorridas</w:t>
      </w:r>
      <w:r>
        <w:rPr>
          <w:rFonts w:ascii="Arial" w:eastAsia="Arial" w:hAnsi="Arial" w:cs="Arial"/>
          <w:color w:val="000000"/>
        </w:rPr>
        <w:t xml:space="preserve"> ao pagamento de indenização por danos morais no valor de R$ 10.000,00 (dez mil reais), com correção monetária e juros na forma da Lei n.º 14.905/2024.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Arial" w:eastAsia="Arial" w:hAnsi="Arial" w:cs="Arial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Arial" w:eastAsia="Arial" w:hAnsi="Arial" w:cs="Arial"/>
          <w:color w:val="000000"/>
        </w:rPr>
        <w:t xml:space="preserve">Salvador/BA, [DATA DO PROTOCOLO]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Advogada em causa própria — OAB/BA 48.851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Documentos: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Doc. 1 – Declaração de hipossuficiência econômica; Doc. 2 – DAS do Simples Nacional (07/2026) e comprovante de agendamento do pagamento da sociedade individual de advocacia.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