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>
      <w:pPr>
        <w:spacing w:after="0" w:line="360" w:lineRule="auto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AO JUÍZO DA 5ª VARA DO TRABALHO DE CAMPO GRANDE/MS</w:t>
      </w:r>
    </w:p>
    <w:p>
      <w:pPr>
        <w:spacing w:after="0" w:line="360" w:lineRule="auto"/>
        <w:jc w:val="both"/>
        <w:rPr>
          <w:rFonts w:ascii="Book Antiqua" w:eastAsia="Book Antiqua" w:hAnsi="Book Antiqua" w:cs="Book Antiqua"/>
        </w:rPr>
      </w:pPr>
    </w:p>
    <w:p>
      <w:pPr>
        <w:spacing w:after="0" w:line="360" w:lineRule="auto"/>
        <w:jc w:val="both"/>
        <w:rPr>
          <w:rFonts w:ascii="Book Antiqua" w:eastAsia="Book Antiqua" w:hAnsi="Book Antiqua" w:cs="Book Antiqua"/>
        </w:rPr>
      </w:pPr>
    </w:p>
    <w:p>
      <w:pPr>
        <w:spacing w:after="0" w:line="30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PROCESSO Nº ATSum 0024326-83.2021.5.24.0005</w:t>
      </w:r>
    </w:p>
    <w:p>
      <w:pPr>
        <w:spacing w:after="0" w:line="30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CARTA PRECATÓRIA Nº 0000610-95.2026.5.05.0032</w:t>
      </w:r>
      <w:r>
        <w:rPr>
          <w:rFonts w:ascii="Book Antiqua" w:eastAsia="Book Antiqua" w:hAnsi="Book Antiqua" w:cs="Book Antiqua"/>
        </w:rPr>
        <w:t xml:space="preserve"> (TRT-5 – Salvador/BA)</w:t>
      </w:r>
    </w:p>
    <w:p>
      <w:pPr>
        <w:spacing w:after="0" w:line="30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EXEQUENTE:</w:t>
      </w:r>
      <w:r>
        <w:rPr>
          <w:rFonts w:ascii="Book Antiqua" w:eastAsia="Book Antiqua" w:hAnsi="Book Antiqua" w:cs="Book Antiqua"/>
        </w:rPr>
        <w:t xml:space="preserve"> ADRIANA FERREIRA DOS SANTOS</w:t>
      </w:r>
    </w:p>
    <w:p>
      <w:pPr>
        <w:spacing w:after="0" w:line="30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EXECUTADOS:</w:t>
      </w:r>
      <w:r>
        <w:rPr>
          <w:rFonts w:ascii="Book Antiqua" w:eastAsia="Book Antiqua" w:hAnsi="Book Antiqua" w:cs="Book Antiqua"/>
        </w:rPr>
        <w:t xml:space="preserve"> CASA NOSSA RESTAURANTE EIRELI – ME E OUTROS</w:t>
      </w:r>
    </w:p>
    <w:p>
      <w:pPr>
        <w:spacing w:after="0" w:line="30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AÇÃO:</w:t>
      </w:r>
      <w:r>
        <w:rPr>
          <w:rFonts w:ascii="Book Antiqua" w:eastAsia="Book Antiqua" w:hAnsi="Book Antiqua" w:cs="Book Antiqua"/>
        </w:rPr>
        <w:t xml:space="preserve"> Reclamação Trabalhista (rito sumaríssimo) – fase de execução</w:t>
      </w:r>
    </w:p>
    <w:p>
      <w:pPr>
        <w:spacing w:after="0" w:line="360" w:lineRule="auto"/>
        <w:jc w:val="both"/>
        <w:rPr>
          <w:rFonts w:ascii="Book Antiqua" w:eastAsia="Book Antiqua" w:hAnsi="Book Antiqua" w:cs="Book Antiqua"/>
        </w:rPr>
      </w:pP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ERICK CLAYTON QUIRINO DOS SANTOS</w:t>
      </w:r>
      <w:r>
        <w:rPr>
          <w:rFonts w:ascii="Book Antiqua" w:eastAsia="Book Antiqua" w:hAnsi="Book Antiqua" w:cs="Book Antiqua"/>
        </w:rPr>
        <w:t xml:space="preserve">, brasileiro, divorciado, inscrito no CPF sob o nº 787.123.435-87, executado nos autos da ação trabalhista acima epigrafada, e </w:t>
      </w:r>
      <w:r>
        <w:rPr>
          <w:rFonts w:ascii="Book Antiqua" w:eastAsia="Book Antiqua" w:hAnsi="Book Antiqua" w:cs="Book Antiqua"/>
          <w:b/>
        </w:rPr>
        <w:t xml:space="preserve">SIMONE MURTA MARTINS</w:t>
      </w:r>
      <w:r>
        <w:rPr>
          <w:rFonts w:ascii="Book Antiqua" w:eastAsia="Book Antiqua" w:hAnsi="Book Antiqua" w:cs="Book Antiqua"/>
        </w:rPr>
        <w:t xml:space="preserve">, brasileira, divorciada, advogada, inscrita na OAB/BA sob o nº 48.851 e no CPF sob o nº 786.071.755-72, residente e domiciliada na Alameda Praia de Jacarecica, nº 85, Casa 03, Stella Maris, CEP 41600-135, Salvador/BA, proprietária e ocupante do imóvel constrito, atuando em causa própria, vêm, perante V. Exa., apresentar</w:t>
      </w:r>
    </w:p>
    <w:p>
      <w:pPr>
        <w:spacing w:after="0" w:line="360" w:lineRule="auto"/>
        <w:jc w:val="both"/>
        <w:rPr>
          <w:rFonts w:ascii="Book Antiqua" w:eastAsia="Book Antiqua" w:hAnsi="Book Antiqua" w:cs="Book Antiqua"/>
        </w:rPr>
      </w:pPr>
    </w:p>
    <w:p>
      <w:pPr>
        <w:spacing w:after="0" w:line="360" w:lineRule="auto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EXCEÇÃO DE IMPENHORABILIDADE (OBJEÇÃO DE PRÉ-EXECUTIVIDADE) COM PEDIDO DE TUTELA DE URGÊNCIA</w:t>
      </w:r>
    </w:p>
    <w:p>
      <w:pPr>
        <w:spacing w:after="0" w:line="360" w:lineRule="auto"/>
        <w:jc w:val="both"/>
        <w:rPr>
          <w:rFonts w:ascii="Book Antiqua" w:eastAsia="Book Antiqua" w:hAnsi="Book Antiqua" w:cs="Book Antiqua"/>
        </w:rPr>
      </w:pP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em face da determinação de penhora do imóvel situado à Alameda Praia de Jacarecica, nº 85, Condomínio Mar Onda Bonita, Casa 03, Stella Maris, CEP 41600-135, Salvador/BA, matrícula nº 34.775, constante da Carta Precatória Executória expedida por este Juízo e distribuída no TRT da 5ª Região sob o nº 0000610-95.2026.5.05.0032, pelos fatos e fundamentos a seguir expostos.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I – DA COMPETÊNCIA DESTE JUÍZO E DO CABIMENTO DA VIA ELEITA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 presente medida é dirigida a este Juízo deprecante porque foi ele quem indicou, expressamente, o imóvel de matrícula nº 34.775 como objeto da penhora deprecada. Nessa hipótese, a competência para apreciar a insurgência é do juízo deprecante, nos termos do art. 676, parágrafo único, do CPC, cuja leitura a contrario sensu da Súmula 46 do STJ confirma: somente se a insurgência versar unicamente sobre vícios ou defeitos da penhora, avaliação ou alienação, e o bem não houver sido indicado pelo juízo deprecante, a competência é do juízo deprecado. A questão aqui suscitada – a impenhorabilidade do bem – atinge a própria possibilidade de a execução recair sobre o imóvel indicado por este Juízo.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 exceção de pré-executividade, também denominada objeção de não-executividade, é incidente de construção doutrinária e jurisprudencial, admitido como defesa atípica na execução para a arguição de matérias de ordem pública, conhecíveis de ofício, que dispensem dilação probatória. No processo do trabalho, sua aplicação decorre dos arts. 769 e 889 da CLT, combinados com o art. 15 do CPC. O STJ sumulou, quanto à execução fiscal, que “a exceção de pré-executividade é admissível na execução fiscal relativamente às matérias conhecíveis de ofício que não demandem dilação probatória” (Súmula 393), e o TST, na Súmula 397, reconhece a exceção de pré-executividade como meio apto a impugnar a execução.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 impenhorabilidade do bem de família é matéria de ordem pública, insuscetível de renúncia, e pode ser arguida a qualquer tempo, antes da expropriação, por simples petição nos autos. Estão presentes, portanto, os dois requisitos de admissibilidade: matéria cognoscível de ofício e prova pré-constituída, juntada com esta petição.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O executado e a coexcipiente têm legitimidade e interesse: o primeiro, por ser o devedor apontado na execução; a segunda, por ser a ex-cônjuge, proprietária e ocupante do imóvel, diretamente atingida pelo ato constritivo. Caso V. Exa. entenda que a defesa da coexcipiente deva ser veiculada por embargos de terceiro (art. 674 do CPC), requer-se, desde logo, o seu recebimento nessa qualidade, em atenção à instrumentalidade das formas e à economia processual.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II – DOS FATOS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Trata-se de execução trabalhista movida por Adriana Ferreira dos Santos, na qual este Juízo expediu, em 02/07/2026, Carta Precatória Executória para PENHORA, AVALIAÇÃO E DEMAIS ATOS EXECUTÓRIOS sobre o imóvel de matrícula nº 34.775, em nome do executado Erick Clayton Quirino dos Santos, para satisfação do crédito de R$ 18.800,00, atualizado até 02/07/2026. A deprecata foi autuada no TRT da 5ª Região em 09/07/2026, sob o nº 0000610-95.2026.5.05.0032 (doc. 05).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O imóvel é a residência da coexcipiente Simone Murta Martins e dos filhos menores do ex-casal, </w:t>
      </w:r>
      <w:r>
        <w:rPr>
          <w:rFonts w:ascii="Book Antiqua" w:eastAsia="Book Antiqua" w:hAnsi="Book Antiqua" w:cs="Book Antiqua"/>
          <w:highlight w:val="yellow"/>
        </w:rPr>
        <w:t xml:space="preserve">[CONFIRMAR: nomes/idades dos dois filhos]</w:t>
      </w:r>
      <w:r>
        <w:rPr>
          <w:rFonts w:ascii="Book Antiqua" w:eastAsia="Book Antiqua" w:hAnsi="Book Antiqua" w:cs="Book Antiqua"/>
        </w:rPr>
        <w:t xml:space="preserve">. O imóvel foi adquirido na constância do casamento e encontra-se gravado com alienação fiduciária em favor da Caixa Econômica Federal, conforme a certidão imobiliária (doc. 01).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O divórcio consensual do casal foi decretado por sentença de 22/11/2023, transitada em julgado, nos autos nº 8037400-25.2022.8.05.0001, da 3ª Vara de Família da Comarca de Salvador/BA, tendo sido extraída Carta de Sentença em 29/05/2025 (doc. 02). </w:t>
      </w:r>
      <w:r>
        <w:rPr>
          <w:rFonts w:ascii="Book Antiqua" w:eastAsia="Book Antiqua" w:hAnsi="Book Antiqua" w:cs="Book Antiqua"/>
          <w:highlight w:val="yellow"/>
        </w:rPr>
        <w:t xml:space="preserve">[CONFIRMAR NA SENTENÇA/ACORDO: cláusula que atribui o imóvel e a guarda dos filhos à coexcipiente – a Carta de Sentença recebida contém apenas as folhas de rosto e encerramento]</w:t>
      </w:r>
      <w:r>
        <w:rPr>
          <w:rFonts w:ascii="Book Antiqua" w:eastAsia="Book Antiqua" w:hAnsi="Book Antiqua" w:cs="Book Antiqua"/>
        </w:rPr>
        <w:t xml:space="preserve"> A partir do divórcio, a coexcipiente passou a ser a única responsável pela moradia e pelo sustento dos filhos, não dispondo de outro imóvel para residir. </w:t>
      </w:r>
      <w:r>
        <w:rPr>
          <w:rFonts w:ascii="Book Antiqua" w:eastAsia="Book Antiqua" w:hAnsi="Book Antiqua" w:cs="Book Antiqua"/>
          <w:highlight w:val="yellow"/>
        </w:rPr>
        <w:t xml:space="preserve">[CONFIRMAR: único imóvel residencial da família]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Ademais, a Certidão de Devolução de Mandado lavrada por Oficial de Justiça Avaliador Federal, em 18/09/2026, nos autos da carta precatória, registra que o executado se mudou do condomínio há mais de um ano (doc. 04). Está documentado, portanto, que o imóvel é ocupado pela ex-cônjuge e pelos filhos.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Um dos filhos, Daniel, </w:t>
      </w:r>
      <w:r>
        <w:rPr>
          <w:rFonts w:ascii="Book Antiqua" w:eastAsia="Book Antiqua" w:hAnsi="Book Antiqua" w:cs="Book Antiqua"/>
          <w:highlight w:val="yellow"/>
        </w:rPr>
        <w:t xml:space="preserve">[idade atual]</w:t>
      </w:r>
      <w:r>
        <w:rPr>
          <w:rFonts w:ascii="Book Antiqua" w:eastAsia="Book Antiqua" w:hAnsi="Book Antiqua" w:cs="Book Antiqua"/>
        </w:rPr>
        <w:t xml:space="preserve">, é pessoa com Transtorno do Espectro Autista, em tratamento intensivo e com acompanhamento periódico de equipe multiprofissional na própria residência, conforme relatório médico (doc. 03). </w:t>
      </w:r>
      <w:r>
        <w:rPr>
          <w:rFonts w:ascii="Book Antiqua" w:eastAsia="Book Antiqua" w:hAnsi="Book Antiqua" w:cs="Book Antiqua"/>
          <w:highlight w:val="yellow"/>
        </w:rPr>
        <w:t xml:space="preserve">[INSERIR imagem/trecho do relatório médico, observada a reserva de dados sensíveis de menor]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 constrição do imóvel, nessas condições, compromete a moradia da entidade familiar e o tratamento de criança com deficiência, o que justifica a presente medida.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III – DO DIREITO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A) Da impenhorabilidade do bem de família (Lei 8.009/1990)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O art. 1º da Lei 8.009/1990 dispõe que o imóvel residencial próprio do casal ou da entidade familiar é impenhorável e não responde por dívida civil, comercial, fiscal, previdenciária “ou de outra natureza”, salvo nas hipóteses previstas na própria lei. O rol de exceções do art. 3º é taxativo e não contempla o crédito trabalhista. O art. 5º considera residência o imóvel utilizado pelo casal ou pela entidade familiar para moradia permanente. A proteção alcança, ainda, o imóvel de pessoas separadas, conforme a Súmula 364 do STJ: “o conceito de impenhorabilidade de bem de família abrange também o imóvel pertencente a pessoas solteiras, separadas e viúvas”.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O direito à moradia é direito social (art. 6º da CF) e a dignidade da pessoa humana é fundamento da República (art. 1º, III, da CF). O TST tem afastado a penhora de bem de família por dívida trabalhista, por não estar o crédito trabalhista entre as exceções legais:</w:t>
      </w:r>
    </w:p>
    <w:p>
      <w:pPr>
        <w:spacing w:after="200" w:line="240" w:lineRule="auto"/>
        <w:ind w:left="2268" w:firstLine="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1"/>
          <w:szCs w:val="21"/>
        </w:rPr>
        <w:t xml:space="preserve">AGRAVO DE INSTRUMENTO EM RECURSO DE REVISTA INTERPOSTO SOB A ÉGIDE DA LEI Nº 13.467/2017 - EXECUÇÃO - BEM DE FAMÍLIA - IMPENHORABILIDADE. As exceções à impenhorabilidade do bem de família estão descritas no rol taxativo do art. 3º da Lei nº 8.009/1990, que não prevê a natureza alimentar do crédito trabalhista. Julgados. Agravo de Instrumento a que se nega provimento. (TST - AIRR: 979006120075020032, Relator: Maria Cristina Irigoyen Peduzzi, 8ª Turma, Data de Julgamento: 05/02/2020, DEJT 10/02/2020) </w:t>
      </w:r>
      <w:r>
        <w:rPr>
          <w:rFonts w:ascii="Book Antiqua" w:eastAsia="Book Antiqua" w:hAnsi="Book Antiqua" w:cs="Book Antiqua"/>
          <w:sz w:val="21"/>
          <w:szCs w:val="21"/>
          <w:highlight w:val="yellow"/>
        </w:rPr>
        <w:t xml:space="preserve">[VERIFICAR NO SITE DO TST antes do protocolo]</w:t>
      </w:r>
    </w:p>
    <w:p>
      <w:pPr>
        <w:spacing w:after="200" w:line="240" w:lineRule="auto"/>
        <w:ind w:left="2268" w:firstLine="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1"/>
          <w:szCs w:val="21"/>
        </w:rPr>
        <w:t xml:space="preserve">RECURSO ORDINÁRIO EM AÇÃO RESCISÓRIA. VIOLAÇÃO DE LITERAL DISPOSIÇÃO DE LEI. BEM DE FAMÍLIA. IMÓVEL SUNTUOSO. IMPOSSIBILIDADE DA CONSTRIÇÃO JUDICIAL FORA DAS HIPÓTESES LEGAIS. [...] 2. Ocorre que o bem de família só pode ser objeto de constrição judicial nas hipóteses previstas em lei e, por mais que o crédito trabalhista tenha natureza privilegiada, não está enquadrado em qualquer das exceções legais [...]. 3. A impenhorabilidade do bem de família tem por escopo proteger a dignidade do núcleo familiar e não pode ser relativizado fora dos estritos limites legais. [...] (TST - RO: 18745320175090000, Relator: Amaury Rodrigues Pinto Junior, SBDI-II, Data de Julgamento: 29/03/2022, Data de Publicação: 01/04/2022) </w:t>
      </w:r>
      <w:r>
        <w:rPr>
          <w:rFonts w:ascii="Book Antiqua" w:eastAsia="Book Antiqua" w:hAnsi="Book Antiqua" w:cs="Book Antiqua"/>
          <w:sz w:val="21"/>
          <w:szCs w:val="21"/>
          <w:highlight w:val="yellow"/>
        </w:rPr>
        <w:t xml:space="preserve">[VERIFICAR NO SITE DO TST antes do protocolo]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Quanto ao fato de o executado não residir no imóvel, o TST já decidiu que isso não afasta a proteção, quando incontroversa a utilização do bem para habitação de integrantes da entidade familiar:</w:t>
      </w:r>
    </w:p>
    <w:p>
      <w:pPr>
        <w:spacing w:after="200" w:line="240" w:lineRule="auto"/>
        <w:ind w:left="2268" w:firstLine="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1"/>
          <w:szCs w:val="21"/>
        </w:rPr>
        <w:t xml:space="preserve">[...] No presente caso, o e. TRT entendeu ser possível a penhora de bem imóvel de propriedade do executado na qual reside seu filho. [...] No entanto, o fato de o devedor/executado não residir no imóvel não o afasta do enquadramento legal como bem de família, quando incontroversa a utilização do imóvel para a habitação de integrantes da entidade familiar. [...] Recurso de revista conhecido e provido. (TST - RR: 0253700-81.2004.5.02.0034, Relator: Breno Medeiros, 5ª Turma, Data de Julgamento: 10/04/2024, Data de Publicação: 12/04/2024) </w:t>
      </w:r>
      <w:r>
        <w:rPr>
          <w:rFonts w:ascii="Book Antiqua" w:eastAsia="Book Antiqua" w:hAnsi="Book Antiqua" w:cs="Book Antiqua"/>
          <w:sz w:val="21"/>
          <w:szCs w:val="21"/>
          <w:highlight w:val="yellow"/>
        </w:rPr>
        <w:t xml:space="preserve">[VERIFICAR NO SITE DO TST antes do protocolo]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No caso, a ocupação do imóvel pela ex-cônjuge e pelos filhos menores é fato documentado, o que basta para atrair a proteção legal.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B) Da dignidade da criança com Transtorno do Espectro Autista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 Constituição Federal impõe à família, à sociedade e ao Estado o dever de assegurar à criança, com absoluta prioridade, o direito à dignidade, à convivência familiar e à saúde (art. 227). A Lei 12.764/2012 estabelece, em seu art. 1º, § 2º, que a pessoa com transtorno do espectro autista é considerada pessoa com deficiência, para todos os efeitos legais. A retirada da família do imóvel, no qual o menor recebe tratamento intensivo e acompanhamento multiprofissional, causaria dano grave e de difícil reparação, reforçando a necessidade de preservação do bem.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C) Da alienação fiduciária em favor da Caixa Econômica Federal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Nos termos do art. 22 da Lei 9.514/1997, a alienação fiduciária é o negócio jurídico pelo qual o devedor fiduciante, com escopo de garantia, transfere ao credor fiduciário a propriedade resolúvel do imóvel. Enquanto não quitado o financiamento, a propriedade pertence à Caixa Econômica Federal, terceira estranha à relação processual, e não ao executado. A penhora recaindo sobre o imóvel, e não sobre eventuais direitos do fiduciante (art. 835, XII, do CPC), atinge patrimônio de terceiro. E, mesmo que se cogitasse constrição sobre direitos aquisitivos, estes têm por objeto a moradia da entidade familiar, e se submetem à proteção da Lei 8.009/1990. Nesse sentido:</w:t>
      </w:r>
    </w:p>
    <w:p>
      <w:pPr>
        <w:spacing w:after="200" w:line="240" w:lineRule="auto"/>
        <w:ind w:left="2268" w:firstLine="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1"/>
          <w:szCs w:val="21"/>
        </w:rPr>
        <w:t xml:space="preserve">PENHORA. BEM IMÓVEL ALIENADO FIDUCIARIAMENTE. IMPOSSIBILIDADE. A alienação fiduciária em garantia transfere ao credor fiduciário a propriedade resolúvel e a posse indireta do bem, permanecendo o devedor fiduciante apenas como possuidor direto. Assim, uma vez que o bem alienado fiduciariamente não integra o patrimônio do devedor, é inadmissível a penhora sobre ele, sob pena de se ofender direito de terceiro. (TRT-3 - APPS: 0074600-06.2009.5.03.0054, Relator: José Marlon de Freitas, 8ª Turma, Data de Julgamento: 17/02/2022, Data de Publicação: 18/02/2022) </w:t>
      </w:r>
      <w:r>
        <w:rPr>
          <w:rFonts w:ascii="Book Antiqua" w:eastAsia="Book Antiqua" w:hAnsi="Book Antiqua" w:cs="Book Antiqua"/>
          <w:sz w:val="21"/>
          <w:szCs w:val="21"/>
          <w:highlight w:val="yellow"/>
        </w:rPr>
        <w:t xml:space="preserve">[VERIFICAR NO SITE DO TRT-3 antes do protocolo]</w:t>
      </w:r>
    </w:p>
    <w:p>
      <w:pPr>
        <w:spacing w:after="200" w:line="240" w:lineRule="auto"/>
        <w:ind w:left="2268" w:firstLine="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1"/>
          <w:szCs w:val="21"/>
        </w:rPr>
        <w:t xml:space="preserve">EMBARGOS DE TERCEIRO. IMÓVEL ALIENADO FIDUCIARIAMENTE. PROPRIEDADE DO CREDOR FIDUCIÁRIO. PENHORA POR DÍVIDA DO DEVEDOR FIDUCIÁRIO. IMPOSSIBILIDADE. [...] o bem alienado fiduciariamente permanece na propriedade do ente credor fiduciário, pelo que não poderá ser objeto de penhora para garantir dívida trabalhista do devedor fiduciário. (TRT-8 - AP: 0000688-70.2023.5.08.0013, Relator: Antonio Oldemar Coelho dos Santos, 3ª Turma) </w:t>
      </w:r>
      <w:r>
        <w:rPr>
          <w:rFonts w:ascii="Book Antiqua" w:eastAsia="Book Antiqua" w:hAnsi="Book Antiqua" w:cs="Book Antiqua"/>
          <w:sz w:val="21"/>
          <w:szCs w:val="21"/>
          <w:highlight w:val="yellow"/>
        </w:rPr>
        <w:t xml:space="preserve">[VERIFICAR NO SITE DO TRT-8 antes do protocolo]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D) Da partilha em divórcio (argumento subsidiário)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Subsidiariamente, o imóvel foi destinado à coexcipiente em divórcio judicialmente decretado, não sendo alienação a terceiro, e inexistindo qualquer elemento que revele má-fé, a qual não se presume. Nesse sentido:</w:t>
      </w:r>
    </w:p>
    <w:p>
      <w:pPr>
        <w:spacing w:after="200" w:line="240" w:lineRule="auto"/>
        <w:ind w:left="2268" w:firstLine="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1"/>
          <w:szCs w:val="21"/>
        </w:rPr>
        <w:t xml:space="preserve">EXECUÇÃO. NULIDADE DA PENHORA. IMÓVEL PARTILHADO EM ACORDO DE SEPARAÇÃO JUDICIAL. Se o imóvel objeto da constrição foi partilhado em acordo de separação judicial, em que a propriedade foi concedida ao ex-cônjuge da devedora, a penhora havida sobre esse bem é insubsistente. (TRT-1 - AP: 0100234-18.2022.5.01.0017, Relator: Rildo Albuquerque Mousinho de Brito, 9ª Turma, Data de Julgamento: 31/08/2022, DEJT 17/09/2022) </w:t>
      </w:r>
      <w:r>
        <w:rPr>
          <w:rFonts w:ascii="Book Antiqua" w:eastAsia="Book Antiqua" w:hAnsi="Book Antiqua" w:cs="Book Antiqua"/>
          <w:sz w:val="21"/>
          <w:szCs w:val="21"/>
          <w:highlight w:val="yellow"/>
        </w:rPr>
        <w:t xml:space="preserve">[VERIFICAR NO SITE DO TRT-1 antes do protocolo]</w:t>
      </w:r>
    </w:p>
    <w:p>
      <w:pPr>
        <w:spacing w:after="200" w:line="240" w:lineRule="auto"/>
        <w:ind w:left="2268" w:firstLine="0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1"/>
          <w:szCs w:val="21"/>
        </w:rPr>
        <w:t xml:space="preserve">PENHORA. IMÓVEL. PARTILHA DE DIVÓRCIO. A hipótese vertente revela que o bem foi havido por partilha de divórcio, circunstância que afasta a penhora por dívida do ex-cônjuge. Nesse contexto, não há que se falar em fraude presumida, pois no ordenamento jurídico viceja o princípio da boa-fé objetiva. A má-fé, portanto, deve ser provada [...]. (TRT-2 - AP: 0002300-92.2011.5.02.0316, Relatora: Ivete Bernardes Vieira de Souza, 17ª Turma) </w:t>
      </w:r>
      <w:r>
        <w:rPr>
          <w:rFonts w:ascii="Book Antiqua" w:eastAsia="Book Antiqua" w:hAnsi="Book Antiqua" w:cs="Book Antiqua"/>
          <w:sz w:val="21"/>
          <w:szCs w:val="21"/>
          <w:highlight w:val="yellow"/>
        </w:rPr>
        <w:t xml:space="preserve">[VERIFICAR NO SITE DO TRT-2 e completar data de julgamento/publicação]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IV – DA TUTELA DE URGÊNCIA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Nos termos do art. 300 do CPC, a probabilidade do direito decorre da documentação juntada, que evidencia a destinação residencial do imóvel, a existência de filho com TEA e a propriedade fiduciária da Caixa Econômica Federal. O perigo de dano está na iminência da penhora, avaliação e eventual expropriação do imóvel pelo juízo deprecado, atos cuja prática antes do exame desta exceção poderia desalojar a família. Requer-se, assim, a suspensão imediata dos atos constritivos e a comunicação ao juízo deprecado (TRT-5, Carta Precatória nº 0000610-95.2026.5.05.0032).</w:t>
      </w:r>
    </w:p>
    <w:p>
      <w:pPr>
        <w:keepNext/>
        <w:spacing w:after="12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V – DOS PEDIDOS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Ante o exposto, requerem: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a) o recebimento e processamento desta exceção, com a concessão de tutela de urgência para suspender o cumprimento da Carta Precatória Executória quanto ao imóvel de matrícula nº 34.775 e quaisquer atos de penhora, avaliação, adjudicação ou alienação, oficiando-se, com urgência, ao Juízo deprecado (TRT-5, Carta Precatória nº 0000610-95.2026.5.05.0032);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b) a intimação da exequente para manifestação, em respeito ao contraditório;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c) o acolhimento da exceção, para reconhecer a impenhorabilidade do imóvel de matrícula nº 34.775, por constituir bem de família (Lei 8.009/1990), e desconstituir a determinação de penhora, com a devolução da carta precatória sem cumprimento nesse ponto e o cancelamento de qualquer constrição ou averbação eventualmente realizada;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d) subsidiariamente, o reconhecimento de que a penhora não pode recair sobre imóvel alienado fiduciariamente à Caixa Econômica Federal (art. 22 da Lei 9.514/1997), ou sobre imóvel atribuído à coexcipiente em partilha de divórcio;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e) subsidiariamente, o recebimento desta petição como embargos de terceiro, quanto à coexcipiente Simone Murta Martins, ou como embargos à penhora, com a atribuição de efeito suspensivo;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f) a produção de prova documental superveniente, caso necessário;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g) que as intimações sejam realizadas exclusivamente em nome de SIMONE MURTA MARTINS, OAB/BA nº 48.851.</w:t>
      </w:r>
    </w:p>
    <w:p>
      <w:pPr>
        <w:spacing w:after="0" w:line="360" w:lineRule="auto"/>
        <w:ind w:left="0" w:firstLine="1134"/>
        <w:jc w:val="both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Termos em que pedem e esperam deferimento.</w:t>
      </w:r>
    </w:p>
    <w:p>
      <w:pPr>
        <w:spacing w:after="0" w:line="36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</w:rPr>
        <w:t xml:space="preserve">Salvador, </w:t>
      </w:r>
      <w:r>
        <w:rPr>
          <w:rFonts w:ascii="Book Antiqua" w:eastAsia="Book Antiqua" w:hAnsi="Book Antiqua" w:cs="Book Antiqua"/>
          <w:highlight w:val="yellow"/>
        </w:rPr>
        <w:t xml:space="preserve">[__]</w:t>
      </w:r>
      <w:r>
        <w:rPr>
          <w:rFonts w:ascii="Book Antiqua" w:eastAsia="Book Antiqua" w:hAnsi="Book Antiqua" w:cs="Book Antiqua"/>
        </w:rPr>
        <w:t xml:space="preserve"> de outubro de 2026.</w:t>
      </w:r>
    </w:p>
    <w:p>
      <w:pPr>
        <w:spacing w:after="0" w:line="360" w:lineRule="auto"/>
        <w:jc w:val="both"/>
        <w:rPr>
          <w:rFonts w:ascii="Book Antiqua" w:eastAsia="Book Antiqua" w:hAnsi="Book Antiqua" w:cs="Book Antiqua"/>
        </w:rPr>
      </w:pPr>
    </w:p>
    <w:p>
      <w:pPr>
        <w:spacing w:after="0" w:line="240" w:lineRule="auto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SIMONE MURTA MARTINS</w:t>
      </w:r>
    </w:p>
    <w:p>
      <w:pPr>
        <w:spacing w:after="240" w:line="240" w:lineRule="auto"/>
        <w:jc w:val="center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OAB/BA 48.851</w:t>
      </w:r>
    </w:p>
    <w:p>
      <w:pPr>
        <w:spacing w:after="60" w:line="300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b/>
        </w:rPr>
        <w:t xml:space="preserve">DOCUMENTOS QUE ACOMPANHAM A PETIÇÃO</w:t>
      </w:r>
    </w:p>
    <w:p>
      <w:pPr>
        <w:spacing w:after="0" w:line="276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Doc. 01 – Certidão da matrícula nº 34.775 </w:t>
      </w:r>
      <w:r>
        <w:rPr>
          <w:rFonts w:ascii="Book Antiqua" w:eastAsia="Book Antiqua" w:hAnsi="Book Antiqua" w:cs="Book Antiqua"/>
          <w:sz w:val="22"/>
          <w:szCs w:val="22"/>
          <w:highlight w:val="yellow"/>
        </w:rPr>
        <w:t xml:space="preserve">[A JUNTAR – não recebida]</w:t>
      </w:r>
    </w:p>
    <w:p>
      <w:pPr>
        <w:spacing w:after="0" w:line="276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Doc. 02 – Carta de Sentença do Divórcio (Proc. 8037400-25.2022.8.05.0001, 3ª Vara de Família de Salvador/BA) </w:t>
      </w:r>
      <w:r>
        <w:rPr>
          <w:rFonts w:ascii="Book Antiqua" w:eastAsia="Book Antiqua" w:hAnsi="Book Antiqua" w:cs="Book Antiqua"/>
          <w:sz w:val="22"/>
          <w:szCs w:val="22"/>
          <w:highlight w:val="yellow"/>
        </w:rPr>
        <w:t xml:space="preserve">[processo em segredo de justiça: juntar com sigilo]</w:t>
      </w:r>
    </w:p>
    <w:p>
      <w:pPr>
        <w:spacing w:after="0" w:line="276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Doc. 03 – Relatório médico do menor Daniel </w:t>
      </w:r>
      <w:r>
        <w:rPr>
          <w:rFonts w:ascii="Book Antiqua" w:eastAsia="Book Antiqua" w:hAnsi="Book Antiqua" w:cs="Book Antiqua"/>
          <w:sz w:val="22"/>
          <w:szCs w:val="22"/>
          <w:highlight w:val="yellow"/>
        </w:rPr>
        <w:t xml:space="preserve">[A JUNTAR, com sigilo]</w:t>
      </w:r>
    </w:p>
    <w:p>
      <w:pPr>
        <w:spacing w:after="0" w:line="276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Doc. 04 – Certidão de Devolução de Mandado (CP 0000610-95.2026.5.05.0032, 21/09/2026)</w:t>
      </w:r>
    </w:p>
    <w:p>
      <w:pPr>
        <w:spacing w:after="0" w:line="276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Doc. 05 – Carta Precatória Executória (ATSum 0024326-83.2021.5.24.0005)</w:t>
      </w:r>
    </w:p>
    <w:p>
      <w:pPr>
        <w:spacing w:after="0" w:line="276" w:lineRule="auto"/>
        <w:jc w:val="left"/>
        <w:rPr>
          <w:rFonts w:ascii="Book Antiqua" w:eastAsia="Book Antiqua" w:hAnsi="Book Antiqua" w:cs="Book Antiqua"/>
        </w:rPr>
      </w:pPr>
      <w:r>
        <w:rPr>
          <w:rFonts w:ascii="Book Antiqua" w:eastAsia="Book Antiqua" w:hAnsi="Book Antiqua" w:cs="Book Antiqua"/>
          <w:sz w:val="22"/>
          <w:szCs w:val="22"/>
        </w:rPr>
        <w:t xml:space="preserve">Doc. 06 – Procuração outorgada por Erick Clayton Quirino dos Santos </w:t>
      </w:r>
      <w:r>
        <w:rPr>
          <w:rFonts w:ascii="Book Antiqua" w:eastAsia="Book Antiqua" w:hAnsi="Book Antiqua" w:cs="Book Antiqua"/>
          <w:sz w:val="22"/>
          <w:szCs w:val="22"/>
          <w:highlight w:val="yellow"/>
        </w:rPr>
        <w:t xml:space="preserve">[NOVA PROCURAÇÃO necessária: a recebida refere-se à ATOrd 0000230-77.2022.5.05.0011]</w:t>
      </w:r>
    </w:p>
    <w:sectPr w:rsidR="00B54FB7">
      <w:headerReference w:type="default" r:id="rId10"/>
      <w:footerReference w:type="default" r:id="rId11"/>
      <w:pgSz w:w="11906" w:h="16838"/>
      <w:pgMar w:top="1417" w:right="1701" w:bottom="1417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3874933" w14:textId="77777777" w:rsidR="00681D34" w:rsidRDefault="00681D34">
      <w:r>
        <w:separator/>
      </w:r>
    </w:p>
  </w:endnote>
  <w:endnote w:type="continuationSeparator" w:id="0">
    <w:p w14:paraId="7C7FFABC" w14:textId="77777777" w:rsidR="00681D34" w:rsidRDefault="00681D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charset w:val="00"/>
    <w:family w:val="auto"/>
    <w:pitch w:val="default"/>
  </w:font>
  <w:font w:name="NSimSun">
    <w:panose1 w:val="02010609030101010101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9E64D79" w14:textId="77777777" w:rsidR="00B54F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5529"/>
      <w:rPr>
        <w:color w:val="000000"/>
        <w:sz w:val="22"/>
        <w:szCs w:val="22"/>
      </w:rPr>
    </w:pPr>
    <w:hyperlink r:id="rId1">
      <w:r>
        <w:rPr>
          <w:color w:val="0563C1"/>
          <w:sz w:val="22"/>
          <w:szCs w:val="22"/>
          <w:u w:val="single"/>
        </w:rPr>
        <w:t>Adv.simonemurta@gmail.com</w:t>
      </w:r>
    </w:hyperlink>
    <w:r>
      <w:rPr>
        <w:noProof/>
      </w:rPr>
      <mc:AlternateContent>
        <mc:Choice Requires="wpg">
          <w:drawing>
            <wp:anchor distT="0" distB="0" distL="114300" distR="114300" simplePos="0" relativeHeight="251659264" behindDoc="0" locked="0" layoutInCell="1" hidden="0" allowOverlap="1" wp14:anchorId="3FFA96D3" wp14:editId="0B78EFFA">
              <wp:simplePos x="0" y="0"/>
              <wp:positionH relativeFrom="column">
                <wp:posOffset>-1041399</wp:posOffset>
              </wp:positionH>
              <wp:positionV relativeFrom="paragraph">
                <wp:posOffset>10033000</wp:posOffset>
              </wp:positionV>
              <wp:extent cx="7562850" cy="645160"/>
              <wp:effectExtent l="0" t="0" r="0" b="0"/>
              <wp:wrapSquare wrapText="bothSides" distT="0" distB="0" distL="114300" distR="114300"/>
              <wp:docPr id="1961870026" name="Agrupar 19618700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645160"/>
                        <a:chOff x="1564575" y="3457400"/>
                        <a:chExt cx="7562850" cy="645200"/>
                      </a:xfrm>
                    </wpg:grpSpPr>
                    <wpg:grpSp>
                      <wpg:cNvPr id="587887987" name="Agrupar 587887987"/>
                      <wpg:cNvGrpSpPr/>
                      <wpg:grpSpPr>
                        <a:xfrm>
                          <a:off x="1564575" y="3457420"/>
                          <a:ext cx="7562850" cy="645160"/>
                          <a:chOff x="1564575" y="3457400"/>
                          <a:chExt cx="7562850" cy="645200"/>
                        </a:xfrm>
                      </wpg:grpSpPr>
                      <wps:wsp>
                        <wps:cNvPr id="2129532036" name="Retângulo 2129532036"/>
                        <wps:cNvSpPr/>
                        <wps:spPr>
                          <a:xfrm>
                            <a:off x="1564575" y="3457400"/>
                            <a:ext cx="7562850" cy="645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2473B7" w14:textId="77777777" w:rsidR="00B54FB7" w:rsidRDefault="00B54FB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1491704686" name="Agrupar 1491704686"/>
                        <wpg:cNvGrpSpPr/>
                        <wpg:grpSpPr>
                          <a:xfrm>
                            <a:off x="1564575" y="3457420"/>
                            <a:ext cx="7562850" cy="645160"/>
                            <a:chOff x="1564575" y="3457400"/>
                            <a:chExt cx="7562850" cy="645200"/>
                          </a:xfrm>
                        </wpg:grpSpPr>
                        <wps:wsp>
                          <wps:cNvPr id="819448755" name="Retângulo 819448755"/>
                          <wps:cNvSpPr/>
                          <wps:spPr>
                            <a:xfrm>
                              <a:off x="1564575" y="3457400"/>
                              <a:ext cx="7562850" cy="6452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1F9E512" w14:textId="77777777" w:rsidR="00B54FB7" w:rsidRDefault="00B54FB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994582456" name="Agrupar 994582456"/>
                          <wpg:cNvGrpSpPr/>
                          <wpg:grpSpPr>
                            <a:xfrm>
                              <a:off x="1564575" y="3457420"/>
                              <a:ext cx="7562850" cy="645160"/>
                              <a:chOff x="1564575" y="3457400"/>
                              <a:chExt cx="7562850" cy="645200"/>
                            </a:xfrm>
                          </wpg:grpSpPr>
                          <wps:wsp>
                            <wps:cNvPr id="1828918177" name="Retângulo 1828918177"/>
                            <wps:cNvSpPr/>
                            <wps:spPr>
                              <a:xfrm>
                                <a:off x="1564575" y="3457400"/>
                                <a:ext cx="7562850" cy="6452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15FCD655" w14:textId="77777777" w:rsidR="00B54FB7" w:rsidRDefault="00B54FB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1825684896" name="Agrupar 1825684896"/>
                            <wpg:cNvGrpSpPr/>
                            <wpg:grpSpPr>
                              <a:xfrm>
                                <a:off x="1564575" y="3457420"/>
                                <a:ext cx="7562850" cy="645160"/>
                                <a:chOff x="0" y="15829"/>
                                <a:chExt cx="11910" cy="1016"/>
                              </a:xfrm>
                            </wpg:grpSpPr>
                            <wps:wsp>
                              <wps:cNvPr id="248187253" name="Retângulo 248187253"/>
                              <wps:cNvSpPr/>
                              <wps:spPr>
                                <a:xfrm>
                                  <a:off x="0" y="15829"/>
                                  <a:ext cx="11900" cy="10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58D9BC9" w14:textId="77777777" w:rsidR="00B54FB7" w:rsidRDefault="00B54FB7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235021485" name="Retângulo 1235021485"/>
                              <wps:cNvSpPr/>
                              <wps:spPr>
                                <a:xfrm>
                                  <a:off x="0" y="15836"/>
                                  <a:ext cx="11910" cy="1009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A88640">
                                    <a:alpha val="44313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372EF4FC" w14:textId="77777777" w:rsidR="00B54FB7" w:rsidRDefault="00B54FB7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142691877" name="Retângulo 1142691877"/>
                              <wps:cNvSpPr/>
                              <wps:spPr>
                                <a:xfrm>
                                  <a:off x="7819" y="15829"/>
                                  <a:ext cx="4086" cy="101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05D7924B" w14:textId="77777777" w:rsidR="00B54FB7" w:rsidRDefault="00000000">
                                    <w:pPr>
                                      <w:spacing w:before="172" w:line="215" w:lineRule="auto"/>
                                      <w:ind w:right="311"/>
                                      <w:jc w:val="right"/>
                                      <w:textDirection w:val="btLr"/>
                                    </w:pPr>
                                    <w:r>
                                      <w:rPr>
                                        <w:rFonts w:eastAsia="Calibri"/>
                                        <w:color w:val="000000"/>
                                      </w:rPr>
                                      <w:t>adv.simonemurta@gmail.com</w:t>
                                    </w:r>
                                  </w:p>
                                  <w:p w14:paraId="3A13F733" w14:textId="77777777" w:rsidR="00B54FB7" w:rsidRDefault="00000000">
                                    <w:pPr>
                                      <w:spacing w:line="360" w:lineRule="auto"/>
                                      <w:ind w:right="302"/>
                                      <w:jc w:val="right"/>
                                      <w:textDirection w:val="btLr"/>
                                    </w:pP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0000"/>
                                        <w:sz w:val="21"/>
                                      </w:rPr>
                                      <w:t>(71</w:t>
                                    </w:r>
                                    <w:r>
                                      <w:rPr>
                                        <w:rFonts w:eastAsia="Calibri"/>
                                        <w:color w:val="000000"/>
                                      </w:rPr>
                                      <w:t>)</w:t>
                                    </w:r>
                                    <w:r>
                                      <w:rPr>
                                        <w:rFonts w:ascii="Arial Narrow" w:eastAsia="Arial Narrow" w:hAnsi="Arial Narrow" w:cs="Arial Narrow"/>
                                        <w:color w:val="000000"/>
                                        <w:sz w:val="21"/>
                                      </w:rPr>
                                      <w:t xml:space="preserve"> 9 9407-0393</w:t>
                                    </w:r>
                                  </w:p>
                                </w:txbxContent>
                              </wps:txbx>
                              <wps:bodyPr spcFirstLastPara="1" wrap="square" lIns="0" tIns="0" rIns="0" bIns="0" anchor="t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-1041399</wp:posOffset>
              </wp:positionH>
              <wp:positionV relativeFrom="paragraph">
                <wp:posOffset>10033000</wp:posOffset>
              </wp:positionV>
              <wp:extent cx="7562850" cy="645160"/>
              <wp:effectExtent b="0" l="0" r="0" t="0"/>
              <wp:wrapSquare wrapText="bothSides" distB="0" distT="0" distL="114300" distR="114300"/>
              <wp:docPr id="1961870026" name="image5.png"/>
              <a:graphic>
                <a:graphicData uri="http://schemas.openxmlformats.org/drawingml/2006/picture">
                  <pic:pic>
                    <pic:nvPicPr>
                      <pic:cNvPr id="0" name="image5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64516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>
      <w:rPr>
        <w:noProof/>
      </w:rPr>
      <w:drawing>
        <wp:anchor distT="0" distB="0" distL="114300" distR="114300" simplePos="0" relativeHeight="251660288" behindDoc="0" locked="0" layoutInCell="1" hidden="0" allowOverlap="1" wp14:anchorId="399AFCB3" wp14:editId="09DD1F52">
          <wp:simplePos x="0" y="0"/>
          <wp:positionH relativeFrom="column">
            <wp:posOffset>2397125</wp:posOffset>
          </wp:positionH>
          <wp:positionV relativeFrom="paragraph">
            <wp:posOffset>1521872</wp:posOffset>
          </wp:positionV>
          <wp:extent cx="605790" cy="605790"/>
          <wp:effectExtent l="0" t="0" r="0" b="0"/>
          <wp:wrapSquare wrapText="bothSides" distT="0" distB="0" distL="114300" distR="114300"/>
          <wp:docPr id="1961870031" name="image3.pn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Logotipo&#10;&#10;Descrição gerada automaticamente"/>
                  <pic:cNvPicPr preferRelativeResize="0"/>
                </pic:nvPicPr>
                <pic:blipFill>
                  <a:blip r:embed="rId3"/>
                  <a:srcRect/>
                  <a:stretch>
                    <a:fillRect/>
                  </a:stretch>
                </pic:blipFill>
                <pic:spPr>
                  <a:xfrm rot="10800000">
                    <a:off x="0" y="0"/>
                    <a:ext cx="605790" cy="605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hidden="0" allowOverlap="1" wp14:anchorId="03073A6D" wp14:editId="47590C76">
          <wp:simplePos x="0" y="0"/>
          <wp:positionH relativeFrom="column">
            <wp:posOffset>2397125</wp:posOffset>
          </wp:positionH>
          <wp:positionV relativeFrom="paragraph">
            <wp:posOffset>-2712</wp:posOffset>
          </wp:positionV>
          <wp:extent cx="605790" cy="605790"/>
          <wp:effectExtent l="0" t="0" r="0" b="0"/>
          <wp:wrapSquare wrapText="bothSides" distT="0" distB="0" distL="114300" distR="114300"/>
          <wp:docPr id="1961870028" name="image4.jpg" descr="Logotipo&#10;&#10;Descrição gerada automaticamente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jpg" descr="Logotipo&#10;&#10;Descrição gerada automaticamente"/>
                  <pic:cNvPicPr preferRelativeResize="0"/>
                </pic:nvPicPr>
                <pic:blipFill>
                  <a:blip r:embed="rId4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5790" cy="60579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336D209" w14:textId="77777777" w:rsidR="00B54F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5529"/>
      <w:rPr>
        <w:color w:val="000000"/>
        <w:sz w:val="22"/>
        <w:szCs w:val="22"/>
      </w:rPr>
    </w:pPr>
    <w:r>
      <w:rPr>
        <w:color w:val="000000"/>
        <w:sz w:val="22"/>
        <w:szCs w:val="22"/>
      </w:rPr>
      <w:t>71 99407-0393</w:t>
    </w:r>
  </w:p>
  <w:p w14:paraId="692443C9" w14:textId="77777777" w:rsidR="00B54FB7" w:rsidRDefault="00B54FB7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ind w:left="5529"/>
      <w:rPr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66F7415" w14:textId="77777777" w:rsidR="00681D34" w:rsidRDefault="00681D34">
      <w:r>
        <w:separator/>
      </w:r>
    </w:p>
  </w:footnote>
  <w:footnote w:type="continuationSeparator" w:id="0">
    <w:p w14:paraId="3D4B59AD" w14:textId="77777777" w:rsidR="00681D34" w:rsidRDefault="00681D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5C5977D" w14:textId="77777777" w:rsidR="00B54F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  <w:sz w:val="22"/>
        <w:szCs w:val="22"/>
      </w:rPr>
    </w:pPr>
    <w:r>
      <w:rPr>
        <w:noProof/>
        <w:color w:val="000000"/>
        <w:sz w:val="22"/>
        <w:szCs w:val="22"/>
      </w:rPr>
      <mc:AlternateContent>
        <mc:Choice Requires="wpg">
          <w:drawing>
            <wp:anchor distT="0" distB="0" distL="0" distR="0" simplePos="0" relativeHeight="251658240" behindDoc="1" locked="0" layoutInCell="1" hidden="0" allowOverlap="1" wp14:anchorId="7C1C5A53" wp14:editId="66C21DB5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2850" cy="1055370"/>
              <wp:effectExtent l="0" t="0" r="0" b="0"/>
              <wp:wrapNone/>
              <wp:docPr id="1961870027" name="Agrupar 196187002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562850" cy="1055370"/>
                        <a:chOff x="1564575" y="3252300"/>
                        <a:chExt cx="7562850" cy="1055400"/>
                      </a:xfrm>
                    </wpg:grpSpPr>
                    <wpg:grpSp>
                      <wpg:cNvPr id="2114544604" name="Agrupar 2114544604"/>
                      <wpg:cNvGrpSpPr/>
                      <wpg:grpSpPr>
                        <a:xfrm>
                          <a:off x="1564575" y="3252315"/>
                          <a:ext cx="7563475" cy="1055975"/>
                          <a:chOff x="1564575" y="3252300"/>
                          <a:chExt cx="7563475" cy="1056005"/>
                        </a:xfrm>
                      </wpg:grpSpPr>
                      <wps:wsp>
                        <wps:cNvPr id="289853183" name="Retângulo 289853183"/>
                        <wps:cNvSpPr/>
                        <wps:spPr>
                          <a:xfrm>
                            <a:off x="1564575" y="3252300"/>
                            <a:ext cx="7562850" cy="1055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E3FF2CC" w14:textId="77777777" w:rsidR="00B54FB7" w:rsidRDefault="00B54FB7">
                              <w:pPr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g:grpSp>
                        <wpg:cNvPr id="401997651" name="Agrupar 401997651"/>
                        <wpg:cNvGrpSpPr/>
                        <wpg:grpSpPr>
                          <a:xfrm>
                            <a:off x="1564575" y="3252315"/>
                            <a:ext cx="7563475" cy="1055990"/>
                            <a:chOff x="1564575" y="3252300"/>
                            <a:chExt cx="7563475" cy="1056020"/>
                          </a:xfrm>
                        </wpg:grpSpPr>
                        <wps:wsp>
                          <wps:cNvPr id="1279263775" name="Retângulo 1279263775"/>
                          <wps:cNvSpPr/>
                          <wps:spPr>
                            <a:xfrm>
                              <a:off x="1564575" y="3252300"/>
                              <a:ext cx="7562850" cy="10554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0D0BFBBB" w14:textId="77777777" w:rsidR="00B54FB7" w:rsidRDefault="00B54FB7">
                                <w:pPr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g:grpSp>
                          <wpg:cNvPr id="1322976817" name="Agrupar 1322976817"/>
                          <wpg:cNvGrpSpPr/>
                          <wpg:grpSpPr>
                            <a:xfrm>
                              <a:off x="1564575" y="3252315"/>
                              <a:ext cx="7563475" cy="1056005"/>
                              <a:chOff x="1564575" y="3252300"/>
                              <a:chExt cx="7562850" cy="1055385"/>
                            </a:xfrm>
                          </wpg:grpSpPr>
                          <wps:wsp>
                            <wps:cNvPr id="299818281" name="Retângulo 299818281"/>
                            <wps:cNvSpPr/>
                            <wps:spPr>
                              <a:xfrm>
                                <a:off x="1564575" y="3252300"/>
                                <a:ext cx="7562225" cy="1054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txbx>
                              <w:txbxContent>
                                <w:p w14:paraId="63453116" w14:textId="77777777" w:rsidR="00B54FB7" w:rsidRDefault="00B54FB7">
                                  <w:pPr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  <wpg:grpSp>
                            <wpg:cNvPr id="2031458456" name="Agrupar 2031458456"/>
                            <wpg:cNvGrpSpPr/>
                            <wpg:grpSpPr>
                              <a:xfrm>
                                <a:off x="1564575" y="3252315"/>
                                <a:ext cx="7562850" cy="1055370"/>
                                <a:chOff x="0" y="0"/>
                                <a:chExt cx="11910" cy="1662"/>
                              </a:xfrm>
                            </wpg:grpSpPr>
                            <wps:wsp>
                              <wps:cNvPr id="1156025128" name="Retângulo 1156025128"/>
                              <wps:cNvSpPr/>
                              <wps:spPr>
                                <a:xfrm>
                                  <a:off x="0" y="0"/>
                                  <a:ext cx="11900" cy="165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DCBC73C" w14:textId="77777777" w:rsidR="00B54FB7" w:rsidRDefault="00B54FB7">
                                    <w:pPr>
                                      <w:textDirection w:val="btLr"/>
                                    </w:pPr>
                                  </w:p>
                                </w:txbxContent>
                              </wps:txbx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810230179" name="Forma Livre: Forma 810230179"/>
                              <wps:cNvSpPr/>
                              <wps:spPr>
                                <a:xfrm>
                                  <a:off x="0" y="0"/>
                                  <a:ext cx="6248" cy="1662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48" h="1662" extrusionOk="0">
                                      <a:moveTo>
                                        <a:pt x="0" y="1661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6248" y="0"/>
                                      </a:lnTo>
                                      <a:lnTo>
                                        <a:pt x="0" y="166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A88640">
                                    <a:alpha val="45490"/>
                                  </a:srgbClr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  <wps:wsp>
                              <wps:cNvPr id="1825279996" name="Forma Livre: Forma 1825279996"/>
                              <wps:cNvSpPr/>
                              <wps:spPr>
                                <a:xfrm>
                                  <a:off x="4349" y="0"/>
                                  <a:ext cx="7561" cy="973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7561" h="973" extrusionOk="0">
                                      <a:moveTo>
                                        <a:pt x="0" y="0"/>
                                      </a:moveTo>
                                      <a:lnTo>
                                        <a:pt x="7560" y="0"/>
                                      </a:lnTo>
                                      <a:lnTo>
                                        <a:pt x="7560" y="972"/>
                                      </a:lnTo>
                                      <a:lnTo>
                                        <a:pt x="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311313"/>
                                </a:solidFill>
                                <a:ln>
                                  <a:noFill/>
                                </a:ln>
                              </wps:spPr>
                              <wps:bodyPr spcFirstLastPara="1" wrap="square" lIns="91425" tIns="91425" rIns="91425" bIns="91425" anchor="ctr" anchorCtr="0">
                                <a:noAutofit/>
                              </wps:bodyPr>
                            </wps:wsp>
                          </wpg:grpSp>
                        </wpg:grpSp>
                      </wpg:grpSp>
                    </wpg:grpSp>
                  </wpg:wgp>
                </a:graphicData>
              </a:graphic>
            </wp:anchor>
          </w:drawing>
        </mc:Choice>
        <mc:Fallback xmlns:cr="http://schemas.microsoft.com/office/comments/2020/reactions" xmlns="http://schemas.microsoft.com/office/tasks/2019/documenttasks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<w:drawing>
            <wp:anchor allowOverlap="1" behindDoc="1" distB="0" distT="0" distL="0" distR="0" hidden="0" layoutInCell="1" locked="0" relativeHeight="0" simplePos="0">
              <wp:simplePos x="0" y="0"/>
              <wp:positionH relativeFrom="page">
                <wp:align>left</wp:align>
              </wp:positionH>
              <wp:positionV relativeFrom="page">
                <wp:align>top</wp:align>
              </wp:positionV>
              <wp:extent cx="7562850" cy="1055370"/>
              <wp:effectExtent b="0" l="0" r="0" t="0"/>
              <wp:wrapNone/>
              <wp:docPr id="1961870027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62850" cy="1055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  <w:p w14:paraId="2851549A" w14:textId="77777777" w:rsidR="00B54FB7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jc w:val="right"/>
      <w:rPr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separate"/>
    </w:r>
    <w:r w:rsidR="0045174E">
      <w:rPr>
        <w:noProof/>
        <w:color w:val="000000"/>
        <w:sz w:val="22"/>
        <w:szCs w:val="22"/>
      </w:rPr>
      <w:t>1</w:t>
    </w:r>
    <w:r>
      <w:rPr>
        <w:color w:val="000000"/>
        <w:sz w:val="22"/>
        <w:szCs w:val="22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BEC307A"/>
    <w:multiLevelType w:val="multilevel"/>
    <w:tmpl w:val="0E5AEC60"/>
    <w:lvl w:ilvl="0">
      <w:start w:val="1"/>
      <w:numFmt w:val="decimal"/>
      <w:pStyle w:val="Ttulo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827221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4FB7"/>
    <w:rsid w:val="0045174E"/>
    <w:rsid w:val="00681D34"/>
    <w:rsid w:val="00B54FB7"/>
    <w:rsid w:val="00E32A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9CE463"/>
  <w15:docId w15:val="{A4F25297-1917-4A94-985B-0FA08AE07D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B637E"/>
    <w:rPr>
      <w:rFonts w:eastAsiaTheme="minorEastAsia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1B0643"/>
    <w:pPr>
      <w:keepNext/>
      <w:numPr>
        <w:numId w:val="1"/>
      </w:numPr>
      <w:suppressAutoHyphens/>
      <w:spacing w:before="240" w:after="120"/>
      <w:outlineLvl w:val="0"/>
    </w:pPr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CabealhoChar">
    <w:name w:val="Cabeçalho Char"/>
    <w:basedOn w:val="Fontepargpadro"/>
    <w:link w:val="Cabealho"/>
    <w:uiPriority w:val="99"/>
    <w:rsid w:val="000723BA"/>
  </w:style>
  <w:style w:type="paragraph" w:styleId="Rodap">
    <w:name w:val="footer"/>
    <w:basedOn w:val="Normal"/>
    <w:link w:val="RodapChar"/>
    <w:uiPriority w:val="99"/>
    <w:unhideWhenUsed/>
    <w:rsid w:val="000723BA"/>
    <w:pPr>
      <w:tabs>
        <w:tab w:val="center" w:pos="4252"/>
        <w:tab w:val="right" w:pos="8504"/>
      </w:tabs>
    </w:pPr>
    <w:rPr>
      <w:rFonts w:eastAsiaTheme="minorHAnsi"/>
      <w:sz w:val="22"/>
      <w:szCs w:val="22"/>
    </w:rPr>
  </w:style>
  <w:style w:type="character" w:customStyle="1" w:styleId="RodapChar">
    <w:name w:val="Rodapé Char"/>
    <w:basedOn w:val="Fontepargpadro"/>
    <w:link w:val="Rodap"/>
    <w:uiPriority w:val="99"/>
    <w:rsid w:val="000723BA"/>
  </w:style>
  <w:style w:type="character" w:styleId="Forte">
    <w:name w:val="Strong"/>
    <w:aliases w:val="CORPO TEXTO"/>
    <w:uiPriority w:val="22"/>
    <w:qFormat/>
    <w:rsid w:val="00DA5BCE"/>
    <w:rPr>
      <w:rFonts w:ascii="Garamond" w:hAnsi="Garamond"/>
      <w:b/>
      <w:bCs/>
      <w:color w:val="auto"/>
      <w:sz w:val="28"/>
    </w:rPr>
  </w:style>
  <w:style w:type="character" w:styleId="Hyperlink">
    <w:name w:val="Hyperlink"/>
    <w:basedOn w:val="Fontepargpadro"/>
    <w:uiPriority w:val="99"/>
    <w:unhideWhenUsed/>
    <w:rsid w:val="00F865F5"/>
    <w:rPr>
      <w:color w:val="0563C1" w:themeColor="hyperlink"/>
      <w:u w:val="single"/>
    </w:rPr>
  </w:style>
  <w:style w:type="paragraph" w:customStyle="1" w:styleId="Default">
    <w:name w:val="Default"/>
    <w:rsid w:val="001840BA"/>
    <w:pPr>
      <w:autoSpaceDE w:val="0"/>
      <w:autoSpaceDN w:val="0"/>
      <w:adjustRightInd w:val="0"/>
    </w:pPr>
    <w:rPr>
      <w:rFonts w:ascii="Garamond" w:eastAsiaTheme="minorEastAsia" w:hAnsi="Garamond" w:cs="Garamond"/>
      <w:color w:val="000000"/>
    </w:rPr>
  </w:style>
  <w:style w:type="paragraph" w:styleId="Recuodecorpodetexto">
    <w:name w:val="Body Text Indent"/>
    <w:basedOn w:val="Normal"/>
    <w:link w:val="RecuodecorpodetextoChar"/>
    <w:rsid w:val="001840BA"/>
    <w:pPr>
      <w:ind w:left="708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RecuodecorpodetextoChar">
    <w:name w:val="Recuo de corpo de texto Char"/>
    <w:basedOn w:val="Fontepargpadro"/>
    <w:link w:val="Recuodecorpodetexto"/>
    <w:rsid w:val="001840BA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PargrafodaLista">
    <w:name w:val="List Paragraph"/>
    <w:basedOn w:val="Normal"/>
    <w:qFormat/>
    <w:rsid w:val="00B53A58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BE621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BE621D"/>
    <w:rPr>
      <w:rFonts w:eastAsiaTheme="minorEastAsia"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1B0643"/>
    <w:rPr>
      <w:rFonts w:ascii="Liberation Serif" w:eastAsia="NSimSun" w:hAnsi="Liberation Serif" w:cs="Arial"/>
      <w:b/>
      <w:bCs/>
      <w:kern w:val="2"/>
      <w:sz w:val="48"/>
      <w:szCs w:val="48"/>
      <w:lang w:eastAsia="zh-CN" w:bidi="hi-IN"/>
    </w:rPr>
  </w:style>
  <w:style w:type="character" w:customStyle="1" w:styleId="Caracteresdenotaderodap">
    <w:name w:val="Caracteres de nota de rodapé"/>
    <w:rsid w:val="001B0643"/>
  </w:style>
  <w:style w:type="character" w:styleId="Refdenotaderodap">
    <w:name w:val="footnote reference"/>
    <w:rsid w:val="001B0643"/>
    <w:rPr>
      <w:vertAlign w:val="superscript"/>
    </w:rPr>
  </w:style>
  <w:style w:type="paragraph" w:styleId="Textodenotaderodap">
    <w:name w:val="footnote text"/>
    <w:basedOn w:val="Normal"/>
    <w:link w:val="TextodenotaderodapChar"/>
    <w:rsid w:val="001B0643"/>
    <w:pPr>
      <w:suppressLineNumbers/>
      <w:suppressAutoHyphens/>
      <w:ind w:left="340" w:hanging="340"/>
    </w:pPr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character" w:customStyle="1" w:styleId="TextodenotaderodapChar">
    <w:name w:val="Texto de nota de rodapé Char"/>
    <w:basedOn w:val="Fontepargpadro"/>
    <w:link w:val="Textodenotaderodap"/>
    <w:rsid w:val="001B0643"/>
    <w:rPr>
      <w:rFonts w:ascii="Liberation Serif" w:eastAsia="NSimSun" w:hAnsi="Liberation Serif" w:cs="Arial"/>
      <w:kern w:val="2"/>
      <w:sz w:val="20"/>
      <w:szCs w:val="20"/>
      <w:lang w:eastAsia="zh-CN" w:bidi="hi-IN"/>
    </w:rPr>
  </w:style>
  <w:style w:type="paragraph" w:customStyle="1" w:styleId="CORPOHOMERO">
    <w:name w:val="CORPO HOMERO"/>
    <w:basedOn w:val="Normal"/>
    <w:rsid w:val="001B0643"/>
    <w:pPr>
      <w:suppressAutoHyphens/>
      <w:spacing w:after="120" w:line="360" w:lineRule="auto"/>
      <w:ind w:firstLine="1134"/>
      <w:jc w:val="both"/>
    </w:pPr>
    <w:rPr>
      <w:rFonts w:ascii="Liberation Serif" w:eastAsia="NSimSun" w:hAnsi="Liberation Serif" w:cs="Arial"/>
      <w:kern w:val="2"/>
      <w:sz w:val="23"/>
      <w:lang w:eastAsia="zh-CN" w:bidi="hi-IN"/>
    </w:rPr>
  </w:style>
  <w:style w:type="paragraph" w:styleId="NormalWeb">
    <w:name w:val="Normal (Web)"/>
    <w:basedOn w:val="Normal"/>
    <w:uiPriority w:val="99"/>
    <w:unhideWhenUsed/>
    <w:rsid w:val="001B0643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paragraph" w:customStyle="1" w:styleId="garamond">
    <w:name w:val="garamond"/>
    <w:basedOn w:val="Normal"/>
    <w:link w:val="garamondChar"/>
    <w:qFormat/>
    <w:rsid w:val="00084220"/>
    <w:pPr>
      <w:spacing w:line="360" w:lineRule="auto"/>
      <w:ind w:firstLine="2835"/>
      <w:jc w:val="both"/>
    </w:pPr>
    <w:rPr>
      <w:rFonts w:ascii="Garamond" w:eastAsia="Times New Roman" w:hAnsi="Garamond" w:cs="Times New Roman"/>
      <w:sz w:val="28"/>
      <w:szCs w:val="28"/>
    </w:rPr>
  </w:style>
  <w:style w:type="character" w:customStyle="1" w:styleId="garamondChar">
    <w:name w:val="garamond Char"/>
    <w:link w:val="garamond"/>
    <w:rsid w:val="00084220"/>
    <w:rPr>
      <w:rFonts w:ascii="Garamond" w:eastAsia="Times New Roman" w:hAnsi="Garamond" w:cs="Times New Roman"/>
      <w:sz w:val="28"/>
      <w:szCs w:val="28"/>
    </w:rPr>
  </w:style>
  <w:style w:type="character" w:customStyle="1" w:styleId="Fontepargpadro1">
    <w:name w:val="Fonte parág. padrão1"/>
    <w:rsid w:val="00390164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enoPendente">
    <w:name w:val="Unresolved Mention"/>
    <w:basedOn w:val="Fontepargpadro"/>
    <w:uiPriority w:val="99"/>
    <w:semiHidden/>
    <w:unhideWhenUsed/>
    <w:rsid w:val="0079419D"/>
    <w:rPr>
      <w:color w:val="605E5C"/>
      <w:shd w:val="clear" w:color="auto" w:fill="E1DFDD"/>
    </w:rPr>
  </w:style>
  <w:style w:type="character" w:styleId="Nmerodepgina">
    <w:name w:val="page number"/>
    <w:basedOn w:val="Fontepargpadro"/>
    <w:uiPriority w:val="99"/>
    <w:unhideWhenUsed/>
    <w:rsid w:val="003F4F5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5.png"/><Relationship Id="rId1" Type="http://schemas.openxmlformats.org/officeDocument/2006/relationships/hyperlink" Target="mailto:Adv.simonemurta@gmail.com" TargetMode="External"/><Relationship Id="rId4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EY/2Bc0JV0WuHAFZIow4NeadWlQ==">CgMxLjA4AHIhMWdxNjFLSlpxYVlsbHFnbjFja09GdkREQjAxdVptM2JP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2655</Words>
  <Characters>14337</Characters>
  <Application>Microsoft Office Word</Application>
  <DocSecurity>0</DocSecurity>
  <Lines>119</Lines>
  <Paragraphs>33</Paragraphs>
  <ScaleCrop>false</ScaleCrop>
  <Company/>
  <LinksUpToDate>false</LinksUpToDate>
  <CharactersWithSpaces>16959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CASA</dc:creator>
  <cp:lastModifiedBy>Renan Marcel Brandão Pires</cp:lastModifiedBy>
  <cp:revision>2</cp:revision>
  <dcterms:created xsi:type="dcterms:W3CDTF">2024-10-11T12:55:00Z</dcterms:created>
  <dcterms:modified xsi:type="dcterms:W3CDTF">2024-10-11T12:55:00Z</dcterms:modified>
</cp:coreProperties>
</file>