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5B07" w14:textId="77777777" w:rsidR="00C97640" w:rsidRDefault="00C97640" w:rsidP="002B176C">
      <w:pPr>
        <w:pStyle w:val="NormalWeb"/>
        <w:spacing w:before="180" w:beforeAutospacing="0" w:after="180" w:afterAutospacing="0"/>
        <w:jc w:val="center"/>
        <w:rPr>
          <w:b/>
          <w:bCs/>
          <w:color w:val="000000" w:themeColor="text1"/>
        </w:rPr>
      </w:pPr>
    </w:p>
    <w:p w14:paraId="297BD28B" w14:textId="77777777" w:rsidR="00C97640" w:rsidRDefault="00C97640" w:rsidP="002B176C">
      <w:pPr>
        <w:pStyle w:val="NormalWeb"/>
        <w:spacing w:before="180" w:beforeAutospacing="0" w:after="180" w:afterAutospacing="0"/>
        <w:jc w:val="center"/>
        <w:rPr>
          <w:b/>
          <w:bCs/>
          <w:color w:val="000000" w:themeColor="text1"/>
        </w:rPr>
      </w:pPr>
    </w:p>
    <w:p w14:paraId="0E48DE6A" w14:textId="77777777" w:rsidR="00C97640" w:rsidRDefault="00C97640" w:rsidP="002B176C">
      <w:pPr>
        <w:pStyle w:val="NormalWeb"/>
        <w:spacing w:before="180" w:beforeAutospacing="0" w:after="180" w:afterAutospacing="0"/>
        <w:jc w:val="center"/>
        <w:rPr>
          <w:b/>
          <w:bCs/>
          <w:color w:val="000000" w:themeColor="text1"/>
        </w:rPr>
      </w:pPr>
    </w:p>
    <w:p w14:paraId="1C89452A" w14:textId="77777777" w:rsidR="00C97640" w:rsidRDefault="00C97640" w:rsidP="002B176C">
      <w:pPr>
        <w:pStyle w:val="NormalWeb"/>
        <w:spacing w:before="180" w:beforeAutospacing="0" w:after="180" w:afterAutospacing="0"/>
        <w:jc w:val="center"/>
        <w:rPr>
          <w:b/>
          <w:bCs/>
          <w:color w:val="000000" w:themeColor="text1"/>
        </w:rPr>
      </w:pPr>
    </w:p>
    <w:p w14:paraId="592F2460" w14:textId="77777777" w:rsidR="00C97640" w:rsidRDefault="00C97640" w:rsidP="002B176C">
      <w:pPr>
        <w:pStyle w:val="NormalWeb"/>
        <w:spacing w:before="180" w:beforeAutospacing="0" w:after="180" w:afterAutospacing="0"/>
        <w:jc w:val="center"/>
        <w:rPr>
          <w:b/>
          <w:bCs/>
          <w:color w:val="000000" w:themeColor="text1"/>
        </w:rPr>
      </w:pPr>
    </w:p>
    <w:p w14:paraId="00935D58" w14:textId="77777777" w:rsidR="00C97640" w:rsidRDefault="00C97640" w:rsidP="002B176C">
      <w:pPr>
        <w:pStyle w:val="NormalWeb"/>
        <w:spacing w:before="180" w:beforeAutospacing="0" w:after="180" w:afterAutospacing="0"/>
        <w:jc w:val="center"/>
        <w:rPr>
          <w:b/>
          <w:bCs/>
          <w:color w:val="000000" w:themeColor="text1"/>
        </w:rPr>
      </w:pPr>
    </w:p>
    <w:p w14:paraId="3070A866" w14:textId="77777777" w:rsidR="00C97640" w:rsidRDefault="00C97640" w:rsidP="002B176C">
      <w:pPr>
        <w:pStyle w:val="NormalWeb"/>
        <w:spacing w:before="180" w:beforeAutospacing="0" w:after="180" w:afterAutospacing="0"/>
        <w:jc w:val="center"/>
        <w:rPr>
          <w:b/>
          <w:bCs/>
          <w:color w:val="000000" w:themeColor="text1"/>
        </w:rPr>
      </w:pPr>
    </w:p>
    <w:p w14:paraId="6CF92A11" w14:textId="77777777" w:rsidR="00C97640" w:rsidRDefault="00C97640" w:rsidP="002B176C">
      <w:pPr>
        <w:pStyle w:val="NormalWeb"/>
        <w:spacing w:before="180" w:beforeAutospacing="0" w:after="180" w:afterAutospacing="0"/>
        <w:jc w:val="center"/>
        <w:rPr>
          <w:b/>
          <w:bCs/>
          <w:color w:val="000000" w:themeColor="text1"/>
        </w:rPr>
      </w:pPr>
    </w:p>
    <w:p w14:paraId="2DCFD1CA" w14:textId="77777777" w:rsidR="00C97640" w:rsidRPr="007A1F94" w:rsidRDefault="00C97640" w:rsidP="002B176C">
      <w:pPr>
        <w:pStyle w:val="NormalWeb"/>
        <w:spacing w:before="180" w:beforeAutospacing="0" w:after="180" w:afterAutospacing="0"/>
        <w:jc w:val="center"/>
        <w:rPr>
          <w:b/>
          <w:bCs/>
          <w:color w:val="000000" w:themeColor="text1"/>
        </w:rPr>
      </w:pPr>
      <w:r>
        <w:rPr>
          <w:b/>
          <w:bCs/>
          <w:color w:val="000000" w:themeColor="text1"/>
        </w:rPr>
        <w:t>Group Case Briefing – Group 9</w:t>
      </w:r>
    </w:p>
    <w:p w14:paraId="18AFFAFE" w14:textId="77777777" w:rsidR="00C97640" w:rsidRDefault="00C97640" w:rsidP="002B176C">
      <w:pPr>
        <w:pStyle w:val="NormalWeb"/>
        <w:spacing w:before="180" w:beforeAutospacing="0" w:after="180" w:afterAutospacing="0"/>
        <w:jc w:val="center"/>
        <w:rPr>
          <w:b/>
          <w:bCs/>
          <w:color w:val="000000" w:themeColor="text1"/>
        </w:rPr>
      </w:pPr>
    </w:p>
    <w:p w14:paraId="323C9620" w14:textId="77777777" w:rsidR="00C97640" w:rsidRPr="006C14AA" w:rsidRDefault="00C97640" w:rsidP="002B176C">
      <w:pPr>
        <w:pStyle w:val="NormalWeb"/>
        <w:spacing w:before="180" w:beforeAutospacing="0" w:after="180" w:afterAutospacing="0"/>
        <w:jc w:val="center"/>
        <w:rPr>
          <w:color w:val="000000" w:themeColor="text1"/>
        </w:rPr>
      </w:pPr>
      <w:r>
        <w:rPr>
          <w:color w:val="000000" w:themeColor="text1"/>
        </w:rPr>
        <w:t>Emily Jao, Haidah Saad, Minh Nguyen, Sai Anurag Sudagauni, Simone Orange</w:t>
      </w:r>
    </w:p>
    <w:p w14:paraId="595817C6" w14:textId="77777777" w:rsidR="00C97640" w:rsidRDefault="00C97640" w:rsidP="002B176C">
      <w:pPr>
        <w:pStyle w:val="NormalWeb"/>
        <w:spacing w:before="180" w:beforeAutospacing="0" w:after="180" w:afterAutospacing="0"/>
        <w:jc w:val="center"/>
        <w:rPr>
          <w:color w:val="000000" w:themeColor="text1"/>
        </w:rPr>
      </w:pPr>
      <w:r>
        <w:rPr>
          <w:color w:val="000000" w:themeColor="text1"/>
        </w:rPr>
        <w:t>The Pennsylvania State University</w:t>
      </w:r>
    </w:p>
    <w:p w14:paraId="2394F214" w14:textId="77777777" w:rsidR="00C97640" w:rsidRDefault="00C97640" w:rsidP="002B176C">
      <w:pPr>
        <w:pStyle w:val="NormalWeb"/>
        <w:spacing w:before="180" w:beforeAutospacing="0" w:after="180" w:afterAutospacing="0"/>
        <w:jc w:val="center"/>
        <w:rPr>
          <w:color w:val="000000" w:themeColor="text1"/>
        </w:rPr>
      </w:pPr>
      <w:r>
        <w:rPr>
          <w:color w:val="000000" w:themeColor="text1"/>
        </w:rPr>
        <w:t>IST 432: Legal and Regulatory Environment of Information Science and Technology</w:t>
      </w:r>
    </w:p>
    <w:p w14:paraId="2417B95E" w14:textId="77777777" w:rsidR="00C97640" w:rsidRDefault="00C97640" w:rsidP="002B176C">
      <w:pPr>
        <w:pStyle w:val="NormalWeb"/>
        <w:spacing w:before="180" w:beforeAutospacing="0" w:after="180" w:afterAutospacing="0"/>
        <w:jc w:val="center"/>
        <w:rPr>
          <w:color w:val="000000" w:themeColor="text1"/>
        </w:rPr>
      </w:pPr>
      <w:r>
        <w:rPr>
          <w:color w:val="000000" w:themeColor="text1"/>
        </w:rPr>
        <w:t xml:space="preserve">Prof. Marc Friedenberg </w:t>
      </w:r>
    </w:p>
    <w:p w14:paraId="3D2F054B" w14:textId="77777777" w:rsidR="00C97640" w:rsidRDefault="606417FE" w:rsidP="002B176C">
      <w:pPr>
        <w:pStyle w:val="NormalWeb"/>
        <w:spacing w:before="180" w:beforeAutospacing="0" w:after="180" w:afterAutospacing="0"/>
        <w:jc w:val="center"/>
        <w:rPr>
          <w:color w:val="000000" w:themeColor="text1"/>
        </w:rPr>
      </w:pPr>
      <w:r w:rsidRPr="3AFE4C2C">
        <w:rPr>
          <w:color w:val="000000" w:themeColor="text1"/>
        </w:rPr>
        <w:t>March 3rd</w:t>
      </w:r>
      <w:r w:rsidR="52317AB5" w:rsidRPr="3AFE4C2C">
        <w:rPr>
          <w:color w:val="000000" w:themeColor="text1"/>
        </w:rPr>
        <w:t>, 2026</w:t>
      </w:r>
    </w:p>
    <w:p w14:paraId="4FEAE649" w14:textId="77777777" w:rsidR="00E36E9B" w:rsidRDefault="00E36E9B" w:rsidP="002B176C">
      <w:pPr>
        <w:spacing w:line="240" w:lineRule="auto"/>
      </w:pPr>
    </w:p>
    <w:p w14:paraId="019168C6" w14:textId="77777777" w:rsidR="00C97640" w:rsidRDefault="00C97640" w:rsidP="002B176C">
      <w:pPr>
        <w:spacing w:line="240" w:lineRule="auto"/>
      </w:pPr>
    </w:p>
    <w:p w14:paraId="426D16C6" w14:textId="77777777" w:rsidR="00C97640" w:rsidRDefault="00C97640" w:rsidP="002B176C">
      <w:pPr>
        <w:spacing w:line="240" w:lineRule="auto"/>
      </w:pPr>
    </w:p>
    <w:p w14:paraId="6E0F6F2A" w14:textId="77777777" w:rsidR="00C97640" w:rsidRDefault="00C97640" w:rsidP="002B176C">
      <w:pPr>
        <w:spacing w:line="240" w:lineRule="auto"/>
      </w:pPr>
    </w:p>
    <w:p w14:paraId="61287D44" w14:textId="77777777" w:rsidR="00C97640" w:rsidRDefault="00C97640" w:rsidP="002B176C">
      <w:pPr>
        <w:spacing w:line="240" w:lineRule="auto"/>
      </w:pPr>
    </w:p>
    <w:p w14:paraId="695A7FD4" w14:textId="77777777" w:rsidR="00C97640" w:rsidRDefault="00C97640" w:rsidP="002B176C">
      <w:pPr>
        <w:spacing w:line="240" w:lineRule="auto"/>
      </w:pPr>
    </w:p>
    <w:p w14:paraId="4FE6D7F5" w14:textId="77777777" w:rsidR="00C97640" w:rsidRDefault="00C97640" w:rsidP="002B176C">
      <w:pPr>
        <w:spacing w:line="240" w:lineRule="auto"/>
      </w:pPr>
    </w:p>
    <w:p w14:paraId="65F7BA14" w14:textId="77777777" w:rsidR="00C97640" w:rsidRDefault="00C97640" w:rsidP="002B176C">
      <w:pPr>
        <w:spacing w:line="240" w:lineRule="auto"/>
      </w:pPr>
    </w:p>
    <w:p w14:paraId="6BAA7691" w14:textId="77777777" w:rsidR="00C97640" w:rsidRDefault="00C97640" w:rsidP="002B176C">
      <w:pPr>
        <w:spacing w:line="240" w:lineRule="auto"/>
      </w:pPr>
    </w:p>
    <w:p w14:paraId="059388B3" w14:textId="77777777" w:rsidR="00C97640" w:rsidRDefault="00C97640" w:rsidP="002B176C">
      <w:pPr>
        <w:spacing w:line="240" w:lineRule="auto"/>
      </w:pPr>
    </w:p>
    <w:p w14:paraId="07EFDD6C" w14:textId="77777777" w:rsidR="00C97640" w:rsidRDefault="00C97640" w:rsidP="002B176C">
      <w:pPr>
        <w:spacing w:line="240" w:lineRule="auto"/>
      </w:pPr>
    </w:p>
    <w:p w14:paraId="180E3A06" w14:textId="77777777" w:rsidR="00C97640" w:rsidRDefault="00C97640" w:rsidP="002B176C">
      <w:pPr>
        <w:spacing w:line="240" w:lineRule="auto"/>
      </w:pPr>
    </w:p>
    <w:p w14:paraId="74D4BE16" w14:textId="77777777" w:rsidR="0030057F" w:rsidRDefault="0030057F" w:rsidP="002A3123">
      <w:pPr>
        <w:pStyle w:val="NormalWeb"/>
        <w:spacing w:before="180" w:after="180"/>
        <w:rPr>
          <w:b/>
          <w:color w:val="000000" w:themeColor="text1"/>
        </w:rPr>
      </w:pPr>
    </w:p>
    <w:p w14:paraId="208D3DE4" w14:textId="77777777" w:rsidR="0030057F" w:rsidRDefault="0030057F" w:rsidP="002B176C">
      <w:pPr>
        <w:pStyle w:val="NormalWeb"/>
        <w:spacing w:before="180" w:after="180"/>
        <w:rPr>
          <w:color w:val="000000" w:themeColor="text1"/>
        </w:rPr>
      </w:pPr>
      <w:r w:rsidRPr="00F905D8">
        <w:rPr>
          <w:b/>
          <w:bCs/>
          <w:color w:val="000000" w:themeColor="text1"/>
        </w:rPr>
        <w:lastRenderedPageBreak/>
        <w:t>Title/Citation:</w:t>
      </w:r>
      <w:r>
        <w:rPr>
          <w:color w:val="000000" w:themeColor="text1"/>
        </w:rPr>
        <w:t xml:space="preserve"> </w:t>
      </w:r>
      <w:r w:rsidRPr="003416A0">
        <w:rPr>
          <w:color w:val="000000" w:themeColor="text1"/>
          <w:shd w:val="clear" w:color="auto" w:fill="FFFFFF"/>
        </w:rPr>
        <w:t>Doe v</w:t>
      </w:r>
      <w:r w:rsidR="005F28C9" w:rsidRPr="003416A0">
        <w:rPr>
          <w:color w:val="000000" w:themeColor="text1"/>
          <w:shd w:val="clear" w:color="auto" w:fill="FFFFFF"/>
        </w:rPr>
        <w:t>.</w:t>
      </w:r>
      <w:r w:rsidRPr="003416A0">
        <w:rPr>
          <w:color w:val="000000" w:themeColor="text1"/>
          <w:shd w:val="clear" w:color="auto" w:fill="FFFFFF"/>
        </w:rPr>
        <w:t xml:space="preserve"> MySpace</w:t>
      </w:r>
      <w:r w:rsidR="005F28C9" w:rsidRPr="003416A0">
        <w:rPr>
          <w:color w:val="000000" w:themeColor="text1"/>
          <w:shd w:val="clear" w:color="auto" w:fill="FFFFFF"/>
        </w:rPr>
        <w:t>, Inc., 528 F.3d 413 (5th Cir. 2008)</w:t>
      </w:r>
      <w:r w:rsidR="005F28C9" w:rsidRPr="003416A0">
        <w:rPr>
          <w:color w:val="000000" w:themeColor="text1"/>
        </w:rPr>
        <w:t xml:space="preserve"> </w:t>
      </w:r>
    </w:p>
    <w:p w14:paraId="658C1CE2" w14:textId="77777777" w:rsidR="0030057F" w:rsidRDefault="0030057F" w:rsidP="002B176C">
      <w:pPr>
        <w:pStyle w:val="NormalWeb"/>
        <w:spacing w:before="180" w:after="180"/>
        <w:rPr>
          <w:color w:val="000000" w:themeColor="text1"/>
        </w:rPr>
      </w:pPr>
      <w:r w:rsidRPr="1D933801">
        <w:rPr>
          <w:b/>
          <w:bCs/>
          <w:color w:val="000000" w:themeColor="text1"/>
        </w:rPr>
        <w:t>Procedural History:</w:t>
      </w:r>
      <w:r w:rsidRPr="1D933801">
        <w:rPr>
          <w:color w:val="000000" w:themeColor="text1"/>
        </w:rPr>
        <w:t xml:space="preserve"> </w:t>
      </w:r>
      <w:r w:rsidR="003416A0">
        <w:t xml:space="preserve">Jane Doe, on behalf of her minor daughter Julie Doe, filed suit against </w:t>
      </w:r>
      <w:r w:rsidR="003416A0">
        <w:rPr>
          <w:rStyle w:val="whitespace-normal"/>
          <w:rFonts w:eastAsiaTheme="majorEastAsia"/>
        </w:rPr>
        <w:t>MySpace, Inc.</w:t>
      </w:r>
      <w:r w:rsidR="003416A0">
        <w:t xml:space="preserve"> and </w:t>
      </w:r>
      <w:r w:rsidR="003416A0">
        <w:rPr>
          <w:rStyle w:val="whitespace-normal"/>
          <w:rFonts w:eastAsiaTheme="majorEastAsia"/>
        </w:rPr>
        <w:t>News Corporation</w:t>
      </w:r>
      <w:r w:rsidR="005E217C">
        <w:rPr>
          <w:rStyle w:val="whitespace-normal"/>
          <w:rFonts w:eastAsiaTheme="majorEastAsia"/>
        </w:rPr>
        <w:t xml:space="preserve"> in Texas state court</w:t>
      </w:r>
      <w:r w:rsidR="003416A0">
        <w:t xml:space="preserve">. </w:t>
      </w:r>
      <w:r w:rsidR="00984B70">
        <w:t>She asserted</w:t>
      </w:r>
      <w:r w:rsidR="003416A0">
        <w:t xml:space="preserve"> negligence and gross negligence </w:t>
      </w:r>
      <w:r w:rsidR="00535ED9">
        <w:t>for failing to protect</w:t>
      </w:r>
      <w:r w:rsidR="003416A0">
        <w:t xml:space="preserve"> Julie </w:t>
      </w:r>
      <w:r w:rsidR="00535ED9">
        <w:t>from a</w:t>
      </w:r>
      <w:r w:rsidR="003416A0">
        <w:t xml:space="preserve"> sexually </w:t>
      </w:r>
      <w:r w:rsidR="00535ED9">
        <w:t>assault by</w:t>
      </w:r>
      <w:r w:rsidR="003416A0">
        <w:t xml:space="preserve"> </w:t>
      </w:r>
      <w:r w:rsidR="00D90910">
        <w:t xml:space="preserve">Solis, </w:t>
      </w:r>
      <w:r w:rsidR="00095493">
        <w:t>an adult</w:t>
      </w:r>
      <w:r w:rsidR="003416A0">
        <w:t xml:space="preserve"> she met through MySpace. The case was </w:t>
      </w:r>
      <w:r w:rsidR="004B1992">
        <w:t>dismissed without</w:t>
      </w:r>
      <w:r w:rsidR="003416A0">
        <w:t xml:space="preserve"> </w:t>
      </w:r>
      <w:r w:rsidR="004B1992">
        <w:t>prejudice and</w:t>
      </w:r>
      <w:r w:rsidR="003416A0">
        <w:t xml:space="preserve"> refiled in New York state court, removed to federal court, and transferred to the Western District of Texas. The district court dismissed the negligence claims, finding they were barred </w:t>
      </w:r>
      <w:r w:rsidR="001D3AC5">
        <w:t xml:space="preserve">by the </w:t>
      </w:r>
      <w:r w:rsidR="003416A0">
        <w:rPr>
          <w:rStyle w:val="whitespace-normal"/>
          <w:rFonts w:eastAsiaTheme="majorEastAsia"/>
        </w:rPr>
        <w:t>Communications Decency Act</w:t>
      </w:r>
      <w:r w:rsidR="003416A0">
        <w:t xml:space="preserve"> (“CDA”) and Texas common law. The Does appealed</w:t>
      </w:r>
      <w:r w:rsidR="004A752C">
        <w:t xml:space="preserve"> to t</w:t>
      </w:r>
      <w:r w:rsidR="003416A0">
        <w:t xml:space="preserve">he </w:t>
      </w:r>
      <w:r w:rsidR="00DC2235">
        <w:t xml:space="preserve">Fifth Circuit </w:t>
      </w:r>
      <w:r w:rsidR="003416A0">
        <w:t>Court of Appeal</w:t>
      </w:r>
      <w:r w:rsidR="00DC2235">
        <w:t xml:space="preserve">s. </w:t>
      </w:r>
      <w:r w:rsidR="004B1992">
        <w:t>However, th</w:t>
      </w:r>
      <w:r w:rsidR="00DC2235">
        <w:t xml:space="preserve">e Fifth Circuit </w:t>
      </w:r>
      <w:r w:rsidR="003416A0">
        <w:t>affirmed the district court’s dismissal.</w:t>
      </w:r>
    </w:p>
    <w:p w14:paraId="4B3CE7C3" w14:textId="77777777" w:rsidR="0030057F" w:rsidRDefault="0030057F" w:rsidP="002B176C">
      <w:pPr>
        <w:pStyle w:val="NormalWeb"/>
        <w:spacing w:before="180" w:after="180"/>
        <w:rPr>
          <w:color w:val="000000" w:themeColor="text1"/>
        </w:rPr>
      </w:pPr>
      <w:r w:rsidRPr="1D933801">
        <w:rPr>
          <w:b/>
          <w:bCs/>
          <w:color w:val="000000" w:themeColor="text1"/>
        </w:rPr>
        <w:t>Facts/Synopsis:</w:t>
      </w:r>
      <w:r w:rsidRPr="1D933801">
        <w:rPr>
          <w:color w:val="000000" w:themeColor="text1"/>
        </w:rPr>
        <w:t xml:space="preserve"> </w:t>
      </w:r>
    </w:p>
    <w:p w14:paraId="7A93FFA0" w14:textId="77777777" w:rsidR="0085449D" w:rsidRDefault="0085449D" w:rsidP="002B176C">
      <w:pPr>
        <w:pStyle w:val="NormalWeb"/>
      </w:pPr>
      <w:r>
        <w:t xml:space="preserve">MySpace.com was a free online social networking website </w:t>
      </w:r>
      <w:r w:rsidR="00860A94">
        <w:t>where users could</w:t>
      </w:r>
      <w:r>
        <w:t xml:space="preserve"> create profiles and communicate with others through messaging and other online tools. To create an account, users were required to represent that they were at least fourteen years old. Accounts for users aged fourteen and fifteen were automatically set to private to limit exposure.</w:t>
      </w:r>
    </w:p>
    <w:p w14:paraId="1AC28A86" w14:textId="77777777" w:rsidR="0085449D" w:rsidRDefault="0085449D" w:rsidP="002B176C">
      <w:pPr>
        <w:pStyle w:val="NormalWeb"/>
      </w:pPr>
      <w:r>
        <w:t xml:space="preserve">In 2005, </w:t>
      </w:r>
      <w:r w:rsidR="00E4303F">
        <w:t>thirteen-year-old</w:t>
      </w:r>
      <w:r>
        <w:t xml:space="preserve"> Julie Doe </w:t>
      </w:r>
      <w:r w:rsidR="00A8242C">
        <w:t>falsified</w:t>
      </w:r>
      <w:r>
        <w:t xml:space="preserve"> her age as eighteen and created a public MySpace profile</w:t>
      </w:r>
      <w:r w:rsidR="00DC3574">
        <w:t>. This allowed her to bypass</w:t>
      </w:r>
      <w:r>
        <w:t xml:space="preserve"> the platform’s safety protections. In April 2006, nineteen-year-old Pete Solis contacted Julie through MySpace. After communicating</w:t>
      </w:r>
      <w:r w:rsidR="002F5351">
        <w:t xml:space="preserve"> online</w:t>
      </w:r>
      <w:r>
        <w:t>, they met in person in May 2006, where Solis sexually assaulted her.</w:t>
      </w:r>
    </w:p>
    <w:p w14:paraId="3448F1A6" w14:textId="77777777" w:rsidR="0030057F" w:rsidRPr="000C5299" w:rsidRDefault="0085449D" w:rsidP="002B176C">
      <w:pPr>
        <w:pStyle w:val="NormalWeb"/>
      </w:pPr>
      <w:r>
        <w:t xml:space="preserve">Julie’s mother </w:t>
      </w:r>
      <w:r w:rsidR="00251C53">
        <w:t>claimed</w:t>
      </w:r>
      <w:r w:rsidR="005258EC">
        <w:t xml:space="preserve"> </w:t>
      </w:r>
      <w:r>
        <w:t xml:space="preserve">that MySpace failed </w:t>
      </w:r>
      <w:r w:rsidR="00251C53">
        <w:t>to establish</w:t>
      </w:r>
      <w:r>
        <w:t xml:space="preserve"> sufficient safety measures to protect minors from sexual predators and that the company owed Julie a duty of care. </w:t>
      </w:r>
      <w:r w:rsidR="00C472A9">
        <w:t>However, the</w:t>
      </w:r>
      <w:r>
        <w:t xml:space="preserve"> Fifth Circuit </w:t>
      </w:r>
      <w:r w:rsidR="00251C53">
        <w:t>ruled</w:t>
      </w:r>
      <w:r>
        <w:t xml:space="preserve"> that the negligence claims were </w:t>
      </w:r>
      <w:r w:rsidR="00251C53">
        <w:t xml:space="preserve">precluded </w:t>
      </w:r>
      <w:r>
        <w:t xml:space="preserve">under CDA because MySpace </w:t>
      </w:r>
      <w:r w:rsidR="00101913">
        <w:t>was only considered as</w:t>
      </w:r>
      <w:r>
        <w:t xml:space="preserve"> </w:t>
      </w:r>
      <w:r w:rsidR="00B53E06">
        <w:t>a</w:t>
      </w:r>
      <w:r w:rsidR="00101913">
        <w:t>n</w:t>
      </w:r>
      <w:r w:rsidR="00B53E06">
        <w:t xml:space="preserve"> “publisher”</w:t>
      </w:r>
      <w:r>
        <w:t xml:space="preserve"> of third-party conten</w:t>
      </w:r>
      <w:r w:rsidR="00B53E06">
        <w:t xml:space="preserve">t (the messages </w:t>
      </w:r>
      <w:r w:rsidR="002C0C99">
        <w:t>exchanged between users)</w:t>
      </w:r>
      <w:r>
        <w:t>.</w:t>
      </w:r>
      <w:r w:rsidR="002C0C99">
        <w:t xml:space="preserve"> </w:t>
      </w:r>
      <w:r>
        <w:t>The court concluded that MySpace did not create or develop the harmful content and was therefore immune from liability under the CDA.</w:t>
      </w:r>
    </w:p>
    <w:p w14:paraId="6D6B4545" w14:textId="77777777" w:rsidR="38043C3C" w:rsidRDefault="0934D95B" w:rsidP="002B176C">
      <w:pPr>
        <w:pStyle w:val="NormalWeb"/>
        <w:spacing w:before="180" w:after="180"/>
        <w:rPr>
          <w:i/>
          <w:color w:val="000000" w:themeColor="text1"/>
        </w:rPr>
      </w:pPr>
      <w:r w:rsidRPr="3AFE4C2C">
        <w:rPr>
          <w:b/>
          <w:bCs/>
          <w:color w:val="000000" w:themeColor="text1"/>
        </w:rPr>
        <w:t>Legal Question/Issue:</w:t>
      </w:r>
      <w:r w:rsidRPr="3AFE4C2C">
        <w:rPr>
          <w:color w:val="000000" w:themeColor="text1"/>
        </w:rPr>
        <w:t xml:space="preserve"> </w:t>
      </w:r>
    </w:p>
    <w:p w14:paraId="474D4B59" w14:textId="77777777" w:rsidR="711886DE" w:rsidRDefault="587F10FB" w:rsidP="002B176C">
      <w:pPr>
        <w:pStyle w:val="NormalWeb"/>
        <w:spacing w:before="180" w:after="180"/>
        <w:rPr>
          <w:color w:val="000000" w:themeColor="text1"/>
        </w:rPr>
      </w:pPr>
      <w:r w:rsidRPr="711886DE">
        <w:rPr>
          <w:color w:val="000000" w:themeColor="text1"/>
        </w:rPr>
        <w:t>Does Section 230 of the Communication</w:t>
      </w:r>
      <w:r w:rsidR="7E3A5E71" w:rsidRPr="711886DE">
        <w:rPr>
          <w:color w:val="000000" w:themeColor="text1"/>
        </w:rPr>
        <w:t>s</w:t>
      </w:r>
      <w:r w:rsidRPr="711886DE">
        <w:rPr>
          <w:color w:val="000000" w:themeColor="text1"/>
        </w:rPr>
        <w:t xml:space="preserve"> Decency Act (CDA) </w:t>
      </w:r>
      <w:r w:rsidR="662077D1" w:rsidRPr="711886DE">
        <w:rPr>
          <w:color w:val="000000" w:themeColor="text1"/>
        </w:rPr>
        <w:t xml:space="preserve">protect MySpace from being liable for </w:t>
      </w:r>
      <w:r w:rsidR="05B1D9B1" w:rsidRPr="711886DE">
        <w:rPr>
          <w:color w:val="000000" w:themeColor="text1"/>
        </w:rPr>
        <w:t>injuries or assaults resulting from</w:t>
      </w:r>
      <w:r w:rsidR="024A3C6C" w:rsidRPr="711886DE">
        <w:rPr>
          <w:color w:val="000000" w:themeColor="text1"/>
        </w:rPr>
        <w:t xml:space="preserve"> the</w:t>
      </w:r>
      <w:r w:rsidR="05B1D9B1" w:rsidRPr="711886DE">
        <w:rPr>
          <w:color w:val="000000" w:themeColor="text1"/>
        </w:rPr>
        <w:t xml:space="preserve"> third-party user communications?</w:t>
      </w:r>
    </w:p>
    <w:p w14:paraId="7B5062BB" w14:textId="77777777" w:rsidR="0030057F" w:rsidRDefault="403E3512" w:rsidP="002B176C">
      <w:pPr>
        <w:pStyle w:val="NormalWeb"/>
        <w:spacing w:before="180" w:after="180"/>
        <w:rPr>
          <w:color w:val="000000" w:themeColor="text1"/>
        </w:rPr>
      </w:pPr>
      <w:r w:rsidRPr="711886DE">
        <w:rPr>
          <w:color w:val="000000" w:themeColor="text1"/>
        </w:rPr>
        <w:t>Can MySpace be held liable for negligence or gross negligence based on its alleged failure to monitor</w:t>
      </w:r>
      <w:r w:rsidR="4A52B706" w:rsidRPr="711886DE">
        <w:rPr>
          <w:color w:val="000000" w:themeColor="text1"/>
        </w:rPr>
        <w:t xml:space="preserve"> or </w:t>
      </w:r>
      <w:r w:rsidRPr="711886DE">
        <w:rPr>
          <w:color w:val="000000" w:themeColor="text1"/>
        </w:rPr>
        <w:t>prevent harmful communications between users?</w:t>
      </w:r>
    </w:p>
    <w:p w14:paraId="55E89220" w14:textId="77777777" w:rsidR="0030057F" w:rsidRDefault="0030057F" w:rsidP="002B176C">
      <w:pPr>
        <w:pStyle w:val="NormalWeb"/>
        <w:spacing w:before="180" w:beforeAutospacing="0" w:after="180" w:afterAutospacing="0"/>
        <w:rPr>
          <w:color w:val="000000" w:themeColor="text1"/>
        </w:rPr>
      </w:pPr>
      <w:r w:rsidRPr="4F057D0D">
        <w:rPr>
          <w:b/>
          <w:bCs/>
          <w:color w:val="000000" w:themeColor="text1"/>
        </w:rPr>
        <w:t xml:space="preserve">Legal Answers: </w:t>
      </w:r>
    </w:p>
    <w:p w14:paraId="563AA892" w14:textId="77777777" w:rsidR="0030057F" w:rsidRDefault="411C2618" w:rsidP="002B176C">
      <w:pPr>
        <w:pStyle w:val="NormalWeb"/>
        <w:spacing w:before="180" w:beforeAutospacing="0" w:after="180" w:afterAutospacing="0"/>
        <w:rPr>
          <w:color w:val="000000" w:themeColor="text1"/>
        </w:rPr>
      </w:pPr>
      <w:r w:rsidRPr="42BA1C63">
        <w:rPr>
          <w:color w:val="000000" w:themeColor="text1"/>
        </w:rPr>
        <w:t>Yes, MySpace is not held liable</w:t>
      </w:r>
      <w:r w:rsidR="002B19EA">
        <w:rPr>
          <w:color w:val="000000" w:themeColor="text1"/>
        </w:rPr>
        <w:t xml:space="preserve"> because</w:t>
      </w:r>
      <w:r w:rsidRPr="42BA1C63">
        <w:rPr>
          <w:color w:val="000000" w:themeColor="text1"/>
        </w:rPr>
        <w:t xml:space="preserve"> Section 230 of the Communications Decency Act states that the platform is not responsible for harmful content or communications from third parties</w:t>
      </w:r>
      <w:r w:rsidR="001A240F">
        <w:rPr>
          <w:color w:val="000000" w:themeColor="text1"/>
        </w:rPr>
        <w:t>.</w:t>
      </w:r>
      <w:r w:rsidR="00DC00F9">
        <w:rPr>
          <w:color w:val="000000" w:themeColor="text1"/>
        </w:rPr>
        <w:t xml:space="preserve"> T</w:t>
      </w:r>
      <w:r w:rsidRPr="42BA1C63">
        <w:rPr>
          <w:color w:val="000000" w:themeColor="text1"/>
        </w:rPr>
        <w:t xml:space="preserve">he provider cannot be treated as the publisher or speaker of that content and therefore cannot be held liable for injuries resulting from those communications. </w:t>
      </w:r>
    </w:p>
    <w:p w14:paraId="2361C5CD" w14:textId="77777777" w:rsidR="0030057F" w:rsidRDefault="411C2618" w:rsidP="002B176C">
      <w:pPr>
        <w:pStyle w:val="NormalWeb"/>
        <w:spacing w:before="180" w:beforeAutospacing="0" w:after="180" w:afterAutospacing="0"/>
        <w:rPr>
          <w:color w:val="000000" w:themeColor="text1"/>
        </w:rPr>
      </w:pPr>
      <w:r w:rsidRPr="42BA1C63">
        <w:rPr>
          <w:color w:val="000000" w:themeColor="text1"/>
        </w:rPr>
        <w:t xml:space="preserve"> </w:t>
      </w:r>
    </w:p>
    <w:p w14:paraId="78EE1E5D" w14:textId="77777777" w:rsidR="0030057F" w:rsidRDefault="00BD074D" w:rsidP="002B176C">
      <w:pPr>
        <w:pStyle w:val="NormalWeb"/>
        <w:spacing w:before="180" w:beforeAutospacing="0" w:after="180" w:afterAutospacing="0"/>
        <w:rPr>
          <w:color w:val="000000" w:themeColor="text1"/>
        </w:rPr>
      </w:pPr>
      <w:r>
        <w:rPr>
          <w:color w:val="000000" w:themeColor="text1"/>
        </w:rPr>
        <w:lastRenderedPageBreak/>
        <w:t>Additionally</w:t>
      </w:r>
      <w:r w:rsidR="411C2618" w:rsidRPr="42BA1C63">
        <w:rPr>
          <w:color w:val="000000" w:themeColor="text1"/>
        </w:rPr>
        <w:t xml:space="preserve">, </w:t>
      </w:r>
      <w:r w:rsidR="00A15995" w:rsidRPr="42BA1C63">
        <w:rPr>
          <w:color w:val="000000" w:themeColor="text1"/>
        </w:rPr>
        <w:t>the plaintiff</w:t>
      </w:r>
      <w:r w:rsidR="008A36A3">
        <w:rPr>
          <w:color w:val="000000" w:themeColor="text1"/>
        </w:rPr>
        <w:t xml:space="preserve">’s </w:t>
      </w:r>
      <w:r w:rsidR="411C2618" w:rsidRPr="42BA1C63">
        <w:rPr>
          <w:color w:val="000000" w:themeColor="text1"/>
        </w:rPr>
        <w:t>claims of negligence and gross negligenc</w:t>
      </w:r>
      <w:r w:rsidR="00C40002">
        <w:rPr>
          <w:color w:val="000000" w:themeColor="text1"/>
        </w:rPr>
        <w:t>e</w:t>
      </w:r>
      <w:r w:rsidR="00A15995">
        <w:rPr>
          <w:color w:val="000000" w:themeColor="text1"/>
        </w:rPr>
        <w:t xml:space="preserve"> </w:t>
      </w:r>
      <w:r w:rsidR="411C2618" w:rsidRPr="42BA1C63">
        <w:rPr>
          <w:color w:val="000000" w:themeColor="text1"/>
        </w:rPr>
        <w:t>are dismissed in cases</w:t>
      </w:r>
      <w:r w:rsidR="00C40002">
        <w:rPr>
          <w:color w:val="000000" w:themeColor="text1"/>
        </w:rPr>
        <w:t xml:space="preserve"> because they</w:t>
      </w:r>
      <w:r w:rsidR="411C2618" w:rsidRPr="42BA1C63">
        <w:rPr>
          <w:color w:val="000000" w:themeColor="text1"/>
        </w:rPr>
        <w:t xml:space="preserve"> are based on the allegation that the platform failed to prevent or monitor user communications</w:t>
      </w:r>
      <w:r w:rsidR="00DC00F9">
        <w:rPr>
          <w:color w:val="000000" w:themeColor="text1"/>
        </w:rPr>
        <w:t xml:space="preserve">. </w:t>
      </w:r>
      <w:r w:rsidR="00C40002">
        <w:rPr>
          <w:color w:val="000000" w:themeColor="text1"/>
        </w:rPr>
        <w:t>Such claims</w:t>
      </w:r>
      <w:r w:rsidR="411C2618" w:rsidRPr="42BA1C63">
        <w:rPr>
          <w:color w:val="000000" w:themeColor="text1"/>
        </w:rPr>
        <w:t xml:space="preserve"> are necessarily intended to impose liability on the publishing and administration of third-party content, which Section 230 explicitly protects.</w:t>
      </w:r>
    </w:p>
    <w:p w14:paraId="620FCE45" w14:textId="77777777" w:rsidR="0030057F" w:rsidRDefault="0030057F" w:rsidP="002B176C">
      <w:pPr>
        <w:pStyle w:val="NormalWeb"/>
        <w:spacing w:before="180" w:beforeAutospacing="0" w:after="180" w:afterAutospacing="0"/>
        <w:rPr>
          <w:b/>
          <w:bCs/>
          <w:color w:val="000000" w:themeColor="text1"/>
        </w:rPr>
      </w:pPr>
      <w:r w:rsidRPr="422588B0">
        <w:rPr>
          <w:b/>
          <w:bCs/>
          <w:color w:val="000000" w:themeColor="text1"/>
        </w:rPr>
        <w:t xml:space="preserve">Discussion </w:t>
      </w:r>
      <w:r w:rsidRPr="7CA0AE49">
        <w:rPr>
          <w:b/>
          <w:bCs/>
          <w:color w:val="000000" w:themeColor="text1"/>
        </w:rPr>
        <w:t xml:space="preserve">and </w:t>
      </w:r>
      <w:r w:rsidRPr="5F0617AE">
        <w:rPr>
          <w:b/>
          <w:bCs/>
          <w:color w:val="000000" w:themeColor="text1"/>
        </w:rPr>
        <w:t>Rationale</w:t>
      </w:r>
      <w:r w:rsidRPr="699F077D">
        <w:rPr>
          <w:b/>
          <w:bCs/>
          <w:color w:val="000000" w:themeColor="text1"/>
        </w:rPr>
        <w:t>:</w:t>
      </w:r>
    </w:p>
    <w:p w14:paraId="136909E8" w14:textId="77777777" w:rsidR="0030057F" w:rsidRDefault="2527D5C1" w:rsidP="002B176C">
      <w:pPr>
        <w:pStyle w:val="NormalWeb"/>
        <w:spacing w:before="180" w:beforeAutospacing="0" w:after="180" w:afterAutospacing="0"/>
      </w:pPr>
      <w:r w:rsidRPr="4853B31F">
        <w:rPr>
          <w:color w:val="000000" w:themeColor="text1"/>
        </w:rPr>
        <w:t>Congress enacted the CDA to allow parents to be able to "restrict their children's access to objectionable or inappropriate online material." Following that, they wanted to provide immunity under the CDA to any Web-based service providers and named it the "Good Samaritan" provision. The Good Samaritan provision allowed providers or users of an interactive service to not be treated as the publisher or speaker of "any information provided by another information content provider."</w:t>
      </w:r>
      <w:r w:rsidR="5C6D9743" w:rsidRPr="4853B31F">
        <w:rPr>
          <w:color w:val="000000" w:themeColor="text1"/>
        </w:rPr>
        <w:t xml:space="preserve"> </w:t>
      </w:r>
      <w:r w:rsidRPr="4853B31F">
        <w:rPr>
          <w:color w:val="000000" w:themeColor="text1"/>
        </w:rPr>
        <w:t>The Does agreed with the immunity provision in § 230(c)(1) of the CDA</w:t>
      </w:r>
      <w:r w:rsidR="7DA14292" w:rsidRPr="4853B31F">
        <w:rPr>
          <w:color w:val="000000" w:themeColor="text1"/>
        </w:rPr>
        <w:t>, but t</w:t>
      </w:r>
      <w:r w:rsidRPr="4853B31F">
        <w:rPr>
          <w:color w:val="000000" w:themeColor="text1"/>
        </w:rPr>
        <w:t>hey argued</w:t>
      </w:r>
      <w:r w:rsidR="263E3183" w:rsidRPr="4853B31F">
        <w:rPr>
          <w:color w:val="000000" w:themeColor="text1"/>
        </w:rPr>
        <w:t xml:space="preserve"> </w:t>
      </w:r>
      <w:r w:rsidRPr="4853B31F">
        <w:rPr>
          <w:color w:val="000000" w:themeColor="text1"/>
        </w:rPr>
        <w:t>to separate MySpace from the publishers being described and believe that they should not be immunized from their claims. Further stating that it is MySpace's fault that Julie Doe ended up in the situation she was in due to their "failure to implement basic safety measures to protect minors." Their argument was rejected with the Court saying it was disingenuous, and the suggestion that MySpace</w:t>
      </w:r>
      <w:r w:rsidR="6A9F15DE" w:rsidRPr="4853B31F">
        <w:rPr>
          <w:color w:val="000000" w:themeColor="text1"/>
        </w:rPr>
        <w:t>’s</w:t>
      </w:r>
      <w:r w:rsidRPr="4853B31F">
        <w:rPr>
          <w:color w:val="000000" w:themeColor="text1"/>
        </w:rPr>
        <w:t xml:space="preserve"> allowing for Julie Doe and Pete Solis </w:t>
      </w:r>
      <w:r w:rsidR="63AA1CD2" w:rsidRPr="4853B31F">
        <w:rPr>
          <w:color w:val="000000" w:themeColor="text1"/>
        </w:rPr>
        <w:t xml:space="preserve">to converse </w:t>
      </w:r>
      <w:r w:rsidRPr="4853B31F">
        <w:rPr>
          <w:color w:val="000000" w:themeColor="text1"/>
        </w:rPr>
        <w:t>was the deciding factor of the sexual assault and in-person meet up</w:t>
      </w:r>
      <w:r w:rsidR="382EC660" w:rsidRPr="4853B31F">
        <w:rPr>
          <w:color w:val="000000" w:themeColor="text1"/>
        </w:rPr>
        <w:t xml:space="preserve"> was false</w:t>
      </w:r>
      <w:r w:rsidRPr="4853B31F">
        <w:rPr>
          <w:color w:val="000000" w:themeColor="text1"/>
        </w:rPr>
        <w:t xml:space="preserve">. Their allegations are mainly about attempting to ensure MySpace is liable for </w:t>
      </w:r>
      <w:r w:rsidR="16867A9E" w:rsidRPr="4853B31F">
        <w:rPr>
          <w:color w:val="000000" w:themeColor="text1"/>
        </w:rPr>
        <w:t xml:space="preserve">not </w:t>
      </w:r>
      <w:r w:rsidRPr="4853B31F">
        <w:rPr>
          <w:color w:val="000000" w:themeColor="text1"/>
        </w:rPr>
        <w:t>preventing Julie from having any communication with Solis, which means that MySpace still has the role of being a publisher of online third party-generated content in which they have immunity.</w:t>
      </w:r>
      <w:r w:rsidR="765475A9" w:rsidRPr="4853B31F">
        <w:rPr>
          <w:color w:val="000000" w:themeColor="text1"/>
        </w:rPr>
        <w:t xml:space="preserve"> </w:t>
      </w:r>
      <w:r w:rsidRPr="4853B31F">
        <w:rPr>
          <w:color w:val="000000" w:themeColor="text1"/>
        </w:rPr>
        <w:t xml:space="preserve">The Does also argued that MySpace should not be immune due to them having a role in creating the content and that it enables users to create personal profiles and picks the information that will be shared online. In this argument, they attempt to argue that MySpace is </w:t>
      </w:r>
      <w:bookmarkStart w:id="0" w:name="_Int_qKoze8gN"/>
      <w:r w:rsidRPr="4853B31F">
        <w:rPr>
          <w:color w:val="000000" w:themeColor="text1"/>
        </w:rPr>
        <w:t>actually an</w:t>
      </w:r>
      <w:bookmarkEnd w:id="0"/>
      <w:r w:rsidRPr="4853B31F">
        <w:rPr>
          <w:color w:val="000000" w:themeColor="text1"/>
        </w:rPr>
        <w:t xml:space="preserve"> "information content provider"</w:t>
      </w:r>
      <w:r w:rsidR="6B79F5F8" w:rsidRPr="4853B31F">
        <w:rPr>
          <w:color w:val="000000" w:themeColor="text1"/>
        </w:rPr>
        <w:t>, so</w:t>
      </w:r>
      <w:r w:rsidRPr="4853B31F">
        <w:rPr>
          <w:color w:val="000000" w:themeColor="text1"/>
        </w:rPr>
        <w:t xml:space="preserve"> they can be responsible for the "creation or development of information provided through the Internet or any other interactive computer service." The records </w:t>
      </w:r>
      <w:r w:rsidR="658CE6FB" w:rsidRPr="4853B31F">
        <w:rPr>
          <w:color w:val="000000" w:themeColor="text1"/>
        </w:rPr>
        <w:t xml:space="preserve">were </w:t>
      </w:r>
      <w:r w:rsidRPr="4853B31F">
        <w:rPr>
          <w:color w:val="000000" w:themeColor="text1"/>
        </w:rPr>
        <w:t>unable to support th</w:t>
      </w:r>
      <w:r w:rsidR="21580E58" w:rsidRPr="4853B31F">
        <w:rPr>
          <w:color w:val="000000" w:themeColor="text1"/>
        </w:rPr>
        <w:t>at argument.</w:t>
      </w:r>
    </w:p>
    <w:p w14:paraId="3FADBEC8" w14:textId="77777777" w:rsidR="0030057F" w:rsidRPr="00731188" w:rsidRDefault="2527D5C1" w:rsidP="002B176C">
      <w:pPr>
        <w:pStyle w:val="NormalWeb"/>
        <w:spacing w:before="180" w:beforeAutospacing="0" w:after="180" w:afterAutospacing="0"/>
      </w:pPr>
      <w:r w:rsidRPr="4853B31F">
        <w:rPr>
          <w:color w:val="000000" w:themeColor="text1"/>
        </w:rPr>
        <w:t xml:space="preserve">During the hearing on February 1, 2007, </w:t>
      </w:r>
      <w:r w:rsidR="056D9CAE" w:rsidRPr="4853B31F">
        <w:rPr>
          <w:color w:val="000000" w:themeColor="text1"/>
        </w:rPr>
        <w:t xml:space="preserve">they have </w:t>
      </w:r>
      <w:r w:rsidRPr="4853B31F">
        <w:rPr>
          <w:color w:val="000000" w:themeColor="text1"/>
        </w:rPr>
        <w:t xml:space="preserve">a conversation about Julie lying about her age to make an account </w:t>
      </w:r>
      <w:r w:rsidR="2BCAE6F7" w:rsidRPr="4853B31F">
        <w:rPr>
          <w:color w:val="000000" w:themeColor="text1"/>
        </w:rPr>
        <w:t>as</w:t>
      </w:r>
      <w:r w:rsidRPr="4853B31F">
        <w:rPr>
          <w:color w:val="000000" w:themeColor="text1"/>
        </w:rPr>
        <w:t xml:space="preserve"> shown through a transcript. Showing how the</w:t>
      </w:r>
      <w:r w:rsidR="62417085" w:rsidRPr="4853B31F">
        <w:rPr>
          <w:color w:val="000000" w:themeColor="text1"/>
        </w:rPr>
        <w:t xml:space="preserve"> Does</w:t>
      </w:r>
      <w:r w:rsidRPr="4853B31F">
        <w:rPr>
          <w:color w:val="000000" w:themeColor="text1"/>
        </w:rPr>
        <w:t xml:space="preserve"> attempted to argue that Julie being able to lie about her age shows negligence on the part of MySpace. Even if Julie had lied to create the profile and exchanged information with Solis, MySpace should have implemented safety features that would prevent Julie and Solis from meeting. The Court also mentions in the conversation with the Does' counsel, Mr. Itkin, how the neglect to undertake parental control over </w:t>
      </w:r>
      <w:r w:rsidR="40137D3B" w:rsidRPr="4853B31F">
        <w:rPr>
          <w:color w:val="000000" w:themeColor="text1"/>
        </w:rPr>
        <w:t>Jane Does’</w:t>
      </w:r>
      <w:r w:rsidRPr="4853B31F">
        <w:rPr>
          <w:color w:val="000000" w:themeColor="text1"/>
        </w:rPr>
        <w:t xml:space="preserve"> online activities and her overall disobedience to the rules provided by MySpace also led to the assault. Mr. Itkin describes how the argument is not "about any of the content that was transmitted," because the</w:t>
      </w:r>
      <w:r w:rsidR="396B566B" w:rsidRPr="4853B31F">
        <w:rPr>
          <w:color w:val="000000" w:themeColor="text1"/>
        </w:rPr>
        <w:t>y believe</w:t>
      </w:r>
      <w:r w:rsidRPr="4853B31F">
        <w:rPr>
          <w:color w:val="000000" w:themeColor="text1"/>
        </w:rPr>
        <w:t xml:space="preserve"> there should have been age verification technology put in place to prevent </w:t>
      </w:r>
      <w:r w:rsidR="62EAE903" w:rsidRPr="4853B31F">
        <w:rPr>
          <w:color w:val="000000" w:themeColor="text1"/>
        </w:rPr>
        <w:t xml:space="preserve">them from </w:t>
      </w:r>
      <w:r w:rsidRPr="4853B31F">
        <w:rPr>
          <w:color w:val="000000" w:themeColor="text1"/>
        </w:rPr>
        <w:t xml:space="preserve">meeting. The Court mentions how the arguments they are trying to provide are "wholly inapplicable to the Federal Rules of Procedure on fraud." Mr. Itkin then agrees with the Court that the </w:t>
      </w:r>
      <w:r w:rsidR="4357C4CD" w:rsidRPr="4853B31F">
        <w:rPr>
          <w:color w:val="000000" w:themeColor="text1"/>
        </w:rPr>
        <w:t>main</w:t>
      </w:r>
      <w:r w:rsidRPr="4853B31F">
        <w:rPr>
          <w:color w:val="000000" w:themeColor="text1"/>
        </w:rPr>
        <w:t xml:space="preserve"> reason they're there </w:t>
      </w:r>
      <w:r w:rsidR="1EF75793" w:rsidRPr="4853B31F">
        <w:rPr>
          <w:color w:val="000000" w:themeColor="text1"/>
        </w:rPr>
        <w:t xml:space="preserve">is for </w:t>
      </w:r>
      <w:r w:rsidRPr="4853B31F">
        <w:rPr>
          <w:color w:val="000000" w:themeColor="text1"/>
        </w:rPr>
        <w:t>"</w:t>
      </w:r>
      <w:bookmarkStart w:id="1" w:name="_Int_cpjnm837"/>
      <w:r w:rsidRPr="4853B31F">
        <w:rPr>
          <w:color w:val="000000" w:themeColor="text1"/>
        </w:rPr>
        <w:t>negligence</w:t>
      </w:r>
      <w:bookmarkEnd w:id="1"/>
      <w:r w:rsidRPr="4853B31F">
        <w:rPr>
          <w:color w:val="000000" w:themeColor="text1"/>
        </w:rPr>
        <w:t xml:space="preserve"> cause of action", and he reiterates that there really </w:t>
      </w:r>
      <w:r w:rsidR="543B8D71" w:rsidRPr="4853B31F">
        <w:rPr>
          <w:color w:val="000000" w:themeColor="text1"/>
        </w:rPr>
        <w:t>should have been</w:t>
      </w:r>
      <w:r w:rsidRPr="4853B31F">
        <w:rPr>
          <w:color w:val="000000" w:themeColor="text1"/>
        </w:rPr>
        <w:t xml:space="preserve"> precautions put in place for them to not have </w:t>
      </w:r>
      <w:r w:rsidR="49C4328F" w:rsidRPr="4853B31F">
        <w:rPr>
          <w:color w:val="000000" w:themeColor="text1"/>
        </w:rPr>
        <w:t>spoken</w:t>
      </w:r>
      <w:r w:rsidRPr="4853B31F">
        <w:rPr>
          <w:color w:val="000000" w:themeColor="text1"/>
        </w:rPr>
        <w:t xml:space="preserve">. The Court later states that </w:t>
      </w:r>
      <w:r w:rsidR="2FEC03E1" w:rsidRPr="4853B31F">
        <w:rPr>
          <w:color w:val="000000" w:themeColor="text1"/>
        </w:rPr>
        <w:t>Juli</w:t>
      </w:r>
      <w:r w:rsidRPr="4853B31F">
        <w:rPr>
          <w:color w:val="000000" w:themeColor="text1"/>
        </w:rPr>
        <w:t>e violate</w:t>
      </w:r>
      <w:r w:rsidR="6D5685EA" w:rsidRPr="4853B31F">
        <w:rPr>
          <w:color w:val="000000" w:themeColor="text1"/>
        </w:rPr>
        <w:t>d</w:t>
      </w:r>
      <w:r w:rsidRPr="4853B31F">
        <w:rPr>
          <w:color w:val="000000" w:themeColor="text1"/>
        </w:rPr>
        <w:t xml:space="preserve"> all the rules that MySpace provided while Mr. Itkin further argues that the age verification would have been the key preventative factor to protect Julie from having met up with Solis.</w:t>
      </w:r>
      <w:r w:rsidR="4ED75189" w:rsidRPr="4853B31F">
        <w:rPr>
          <w:color w:val="000000" w:themeColor="text1"/>
        </w:rPr>
        <w:t xml:space="preserve"> </w:t>
      </w:r>
      <w:r w:rsidRPr="4853B31F">
        <w:rPr>
          <w:color w:val="000000" w:themeColor="text1"/>
        </w:rPr>
        <w:t xml:space="preserve">The Does had not argued that the CDA shouldn't apply to MySpace due to having partial responsibility for creating the exchanged information before filing the appeal with the circuit court, and so the Court decided that they were not allowed to make the argument during the appeal. Which in turn led to their </w:t>
      </w:r>
      <w:r w:rsidRPr="4853B31F">
        <w:rPr>
          <w:color w:val="000000" w:themeColor="text1"/>
        </w:rPr>
        <w:lastRenderedPageBreak/>
        <w:t xml:space="preserve">negligence and gross negligence claims being barred by the CDA. </w:t>
      </w:r>
      <w:r w:rsidR="1E922DE5" w:rsidRPr="4853B31F">
        <w:rPr>
          <w:color w:val="000000" w:themeColor="text1"/>
        </w:rPr>
        <w:t xml:space="preserve">Since there </w:t>
      </w:r>
      <w:r w:rsidR="6D7FF152" w:rsidRPr="4853B31F">
        <w:rPr>
          <w:color w:val="000000" w:themeColor="text1"/>
        </w:rPr>
        <w:t xml:space="preserve">no longer </w:t>
      </w:r>
      <w:r w:rsidR="09DF0C06" w:rsidRPr="4853B31F">
        <w:rPr>
          <w:color w:val="000000" w:themeColor="text1"/>
        </w:rPr>
        <w:t>was</w:t>
      </w:r>
      <w:r w:rsidR="6D7FF152" w:rsidRPr="4853B31F">
        <w:rPr>
          <w:color w:val="000000" w:themeColor="text1"/>
        </w:rPr>
        <w:t xml:space="preserve"> a need to</w:t>
      </w:r>
      <w:r w:rsidRPr="4853B31F">
        <w:rPr>
          <w:color w:val="000000" w:themeColor="text1"/>
        </w:rPr>
        <w:t xml:space="preserve"> assess Texas common law or the application of § 230(c)(2), </w:t>
      </w:r>
      <w:r w:rsidR="12BEF39D" w:rsidRPr="4853B31F">
        <w:rPr>
          <w:color w:val="000000" w:themeColor="text1"/>
        </w:rPr>
        <w:t>a</w:t>
      </w:r>
      <w:r w:rsidR="18CDB827" w:rsidRPr="4853B31F">
        <w:rPr>
          <w:color w:val="000000" w:themeColor="text1"/>
        </w:rPr>
        <w:t>ll</w:t>
      </w:r>
      <w:r w:rsidRPr="4853B31F">
        <w:rPr>
          <w:color w:val="000000" w:themeColor="text1"/>
        </w:rPr>
        <w:t xml:space="preserve"> the provided failed arguments led to the original judgment of the district court being affirmed.</w:t>
      </w:r>
    </w:p>
    <w:p w14:paraId="077CCCA9" w14:textId="77777777" w:rsidR="0030057F" w:rsidRDefault="0934D95B" w:rsidP="002B176C">
      <w:pPr>
        <w:pStyle w:val="NormalWeb"/>
        <w:spacing w:before="180" w:beforeAutospacing="0" w:after="180" w:afterAutospacing="0"/>
        <w:rPr>
          <w:b/>
          <w:bCs/>
          <w:color w:val="000000" w:themeColor="text1"/>
        </w:rPr>
      </w:pPr>
      <w:r w:rsidRPr="3AFE4C2C">
        <w:rPr>
          <w:b/>
          <w:bCs/>
          <w:color w:val="000000" w:themeColor="text1"/>
        </w:rPr>
        <w:t xml:space="preserve">Analysis: </w:t>
      </w:r>
    </w:p>
    <w:p w14:paraId="59C4263E" w14:textId="77777777" w:rsidR="00B44C14" w:rsidRPr="00B44C14" w:rsidRDefault="00B44C14" w:rsidP="002B176C">
      <w:pPr>
        <w:spacing w:line="240" w:lineRule="auto"/>
        <w:rPr>
          <w:rFonts w:ascii="Times New Roman" w:hAnsi="Times New Roman" w:cs="Times New Roman"/>
        </w:rPr>
      </w:pPr>
      <w:r w:rsidRPr="00B44C14">
        <w:rPr>
          <w:rFonts w:ascii="Times New Roman" w:hAnsi="Times New Roman" w:cs="Times New Roman"/>
        </w:rPr>
        <w:t xml:space="preserve">The Fifth Circuit's decision in this case shows just how broadly Section 230 immunity can apply. By treating MySpace as a publisher of third-party content rather than a creator of it, the court drew a clear line that continues to influence how platforms are held accountable today. The plaintiffs tried to argue that MySpace's lack of age-verification technology was an act of negligence, but the court saw this as simply another way of trying to hold MySpace responsible for content its users created </w:t>
      </w:r>
      <w:r w:rsidR="00CC7298">
        <w:rPr>
          <w:rFonts w:ascii="Times New Roman" w:hAnsi="Times New Roman" w:cs="Times New Roman"/>
        </w:rPr>
        <w:t>which is</w:t>
      </w:r>
      <w:r w:rsidRPr="00B44C14">
        <w:rPr>
          <w:rFonts w:ascii="Times New Roman" w:hAnsi="Times New Roman" w:cs="Times New Roman"/>
        </w:rPr>
        <w:t xml:space="preserve"> something the CDA directly protects against.</w:t>
      </w:r>
    </w:p>
    <w:p w14:paraId="54FBF0DD" w14:textId="77777777" w:rsidR="00B44C14" w:rsidRPr="00B44C14" w:rsidRDefault="00B44C14" w:rsidP="002B176C">
      <w:pPr>
        <w:spacing w:line="240" w:lineRule="auto"/>
        <w:rPr>
          <w:rFonts w:ascii="Times New Roman" w:hAnsi="Times New Roman" w:cs="Times New Roman"/>
        </w:rPr>
      </w:pPr>
      <w:r w:rsidRPr="00B44C14">
        <w:rPr>
          <w:rFonts w:ascii="Times New Roman" w:hAnsi="Times New Roman" w:cs="Times New Roman"/>
        </w:rPr>
        <w:t>One interesting point is that while the court acknowledged Julie had lied about her age to get around MySpace's safety features, this fact alone was not what decided the case. The CDA immunity was enough on its own. This tells us that even when a platform's protections are easy to bypass, it can still be shielded from negligence claims as long as it was not the one creating the harmful content.</w:t>
      </w:r>
    </w:p>
    <w:p w14:paraId="60542E0B" w14:textId="77777777" w:rsidR="00B44C14" w:rsidRPr="00B44C14" w:rsidRDefault="00B44C14" w:rsidP="002B176C">
      <w:pPr>
        <w:spacing w:line="240" w:lineRule="auto"/>
        <w:rPr>
          <w:rFonts w:ascii="Times New Roman" w:hAnsi="Times New Roman" w:cs="Times New Roman"/>
        </w:rPr>
      </w:pPr>
      <w:r w:rsidRPr="00B44C14">
        <w:rPr>
          <w:rFonts w:ascii="Times New Roman" w:hAnsi="Times New Roman" w:cs="Times New Roman"/>
        </w:rPr>
        <w:t>There is also an important procedural takeaway here. Because the Does never raised the argument that MySpace was partially responsible as a content creator at the district court level, they were not allowed to bring it up during the appeal. This is a reminder that all relevant legal arguments need to be made early on, or they risk being lost entirely.</w:t>
      </w:r>
    </w:p>
    <w:p w14:paraId="18773B15" w14:textId="77777777" w:rsidR="0030057F" w:rsidRPr="00B44C14" w:rsidRDefault="0030057F" w:rsidP="002B176C">
      <w:pPr>
        <w:spacing w:line="240" w:lineRule="auto"/>
        <w:rPr>
          <w:rFonts w:ascii="Times New Roman" w:hAnsi="Times New Roman" w:cs="Times New Roman"/>
        </w:rPr>
      </w:pPr>
    </w:p>
    <w:sectPr w:rsidR="0030057F" w:rsidRPr="00B44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1F7D"/>
    <w:multiLevelType w:val="hybridMultilevel"/>
    <w:tmpl w:val="FFFFFFFF"/>
    <w:lvl w:ilvl="0" w:tplc="2D6007B6">
      <w:start w:val="1"/>
      <w:numFmt w:val="bullet"/>
      <w:lvlText w:val="-"/>
      <w:lvlJc w:val="left"/>
      <w:pPr>
        <w:ind w:left="720" w:hanging="360"/>
      </w:pPr>
      <w:rPr>
        <w:rFonts w:ascii="Aptos" w:hAnsi="Aptos" w:hint="default"/>
      </w:rPr>
    </w:lvl>
    <w:lvl w:ilvl="1" w:tplc="184A5274">
      <w:start w:val="1"/>
      <w:numFmt w:val="bullet"/>
      <w:lvlText w:val="o"/>
      <w:lvlJc w:val="left"/>
      <w:pPr>
        <w:ind w:left="1440" w:hanging="360"/>
      </w:pPr>
      <w:rPr>
        <w:rFonts w:ascii="Courier New" w:hAnsi="Courier New" w:hint="default"/>
      </w:rPr>
    </w:lvl>
    <w:lvl w:ilvl="2" w:tplc="9796C0C6">
      <w:start w:val="1"/>
      <w:numFmt w:val="bullet"/>
      <w:lvlText w:val=""/>
      <w:lvlJc w:val="left"/>
      <w:pPr>
        <w:ind w:left="2160" w:hanging="360"/>
      </w:pPr>
      <w:rPr>
        <w:rFonts w:ascii="Wingdings" w:hAnsi="Wingdings" w:hint="default"/>
      </w:rPr>
    </w:lvl>
    <w:lvl w:ilvl="3" w:tplc="FDBCCDCA">
      <w:start w:val="1"/>
      <w:numFmt w:val="bullet"/>
      <w:lvlText w:val=""/>
      <w:lvlJc w:val="left"/>
      <w:pPr>
        <w:ind w:left="2880" w:hanging="360"/>
      </w:pPr>
      <w:rPr>
        <w:rFonts w:ascii="Symbol" w:hAnsi="Symbol" w:hint="default"/>
      </w:rPr>
    </w:lvl>
    <w:lvl w:ilvl="4" w:tplc="6D0CD800">
      <w:start w:val="1"/>
      <w:numFmt w:val="bullet"/>
      <w:lvlText w:val="o"/>
      <w:lvlJc w:val="left"/>
      <w:pPr>
        <w:ind w:left="3600" w:hanging="360"/>
      </w:pPr>
      <w:rPr>
        <w:rFonts w:ascii="Courier New" w:hAnsi="Courier New" w:hint="default"/>
      </w:rPr>
    </w:lvl>
    <w:lvl w:ilvl="5" w:tplc="F64E9ACE">
      <w:start w:val="1"/>
      <w:numFmt w:val="bullet"/>
      <w:lvlText w:val=""/>
      <w:lvlJc w:val="left"/>
      <w:pPr>
        <w:ind w:left="4320" w:hanging="360"/>
      </w:pPr>
      <w:rPr>
        <w:rFonts w:ascii="Wingdings" w:hAnsi="Wingdings" w:hint="default"/>
      </w:rPr>
    </w:lvl>
    <w:lvl w:ilvl="6" w:tplc="554EEBA4">
      <w:start w:val="1"/>
      <w:numFmt w:val="bullet"/>
      <w:lvlText w:val=""/>
      <w:lvlJc w:val="left"/>
      <w:pPr>
        <w:ind w:left="5040" w:hanging="360"/>
      </w:pPr>
      <w:rPr>
        <w:rFonts w:ascii="Symbol" w:hAnsi="Symbol" w:hint="default"/>
      </w:rPr>
    </w:lvl>
    <w:lvl w:ilvl="7" w:tplc="8F6ED802">
      <w:start w:val="1"/>
      <w:numFmt w:val="bullet"/>
      <w:lvlText w:val="o"/>
      <w:lvlJc w:val="left"/>
      <w:pPr>
        <w:ind w:left="5760" w:hanging="360"/>
      </w:pPr>
      <w:rPr>
        <w:rFonts w:ascii="Courier New" w:hAnsi="Courier New" w:hint="default"/>
      </w:rPr>
    </w:lvl>
    <w:lvl w:ilvl="8" w:tplc="41EA3486">
      <w:start w:val="1"/>
      <w:numFmt w:val="bullet"/>
      <w:lvlText w:val=""/>
      <w:lvlJc w:val="left"/>
      <w:pPr>
        <w:ind w:left="6480" w:hanging="360"/>
      </w:pPr>
      <w:rPr>
        <w:rFonts w:ascii="Wingdings" w:hAnsi="Wingdings" w:hint="default"/>
      </w:rPr>
    </w:lvl>
  </w:abstractNum>
  <w:abstractNum w:abstractNumId="1" w15:restartNumberingAfterBreak="0">
    <w:nsid w:val="32133CEA"/>
    <w:multiLevelType w:val="multilevel"/>
    <w:tmpl w:val="30E2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C49FF"/>
    <w:multiLevelType w:val="hybridMultilevel"/>
    <w:tmpl w:val="FFFFFFFF"/>
    <w:lvl w:ilvl="0" w:tplc="A1A0F5F8">
      <w:start w:val="1"/>
      <w:numFmt w:val="decimal"/>
      <w:lvlText w:val="%1."/>
      <w:lvlJc w:val="left"/>
      <w:pPr>
        <w:ind w:left="720" w:hanging="360"/>
      </w:pPr>
    </w:lvl>
    <w:lvl w:ilvl="1" w:tplc="D75444AC">
      <w:start w:val="1"/>
      <w:numFmt w:val="lowerLetter"/>
      <w:lvlText w:val="%2."/>
      <w:lvlJc w:val="left"/>
      <w:pPr>
        <w:ind w:left="1440" w:hanging="360"/>
      </w:pPr>
    </w:lvl>
    <w:lvl w:ilvl="2" w:tplc="CCF68746">
      <w:start w:val="1"/>
      <w:numFmt w:val="lowerRoman"/>
      <w:lvlText w:val="%3."/>
      <w:lvlJc w:val="right"/>
      <w:pPr>
        <w:ind w:left="2160" w:hanging="180"/>
      </w:pPr>
    </w:lvl>
    <w:lvl w:ilvl="3" w:tplc="FDA2CE0C">
      <w:start w:val="1"/>
      <w:numFmt w:val="decimal"/>
      <w:lvlText w:val="%4."/>
      <w:lvlJc w:val="left"/>
      <w:pPr>
        <w:ind w:left="2880" w:hanging="360"/>
      </w:pPr>
    </w:lvl>
    <w:lvl w:ilvl="4" w:tplc="3138A714">
      <w:start w:val="1"/>
      <w:numFmt w:val="lowerLetter"/>
      <w:lvlText w:val="%5."/>
      <w:lvlJc w:val="left"/>
      <w:pPr>
        <w:ind w:left="3600" w:hanging="360"/>
      </w:pPr>
    </w:lvl>
    <w:lvl w:ilvl="5" w:tplc="5ED6A08C">
      <w:start w:val="1"/>
      <w:numFmt w:val="lowerRoman"/>
      <w:lvlText w:val="%6."/>
      <w:lvlJc w:val="right"/>
      <w:pPr>
        <w:ind w:left="4320" w:hanging="180"/>
      </w:pPr>
    </w:lvl>
    <w:lvl w:ilvl="6" w:tplc="B574CDA8">
      <w:start w:val="1"/>
      <w:numFmt w:val="decimal"/>
      <w:lvlText w:val="%7."/>
      <w:lvlJc w:val="left"/>
      <w:pPr>
        <w:ind w:left="5040" w:hanging="360"/>
      </w:pPr>
    </w:lvl>
    <w:lvl w:ilvl="7" w:tplc="5074D394">
      <w:start w:val="1"/>
      <w:numFmt w:val="lowerLetter"/>
      <w:lvlText w:val="%8."/>
      <w:lvlJc w:val="left"/>
      <w:pPr>
        <w:ind w:left="5760" w:hanging="360"/>
      </w:pPr>
    </w:lvl>
    <w:lvl w:ilvl="8" w:tplc="5AEEE63C">
      <w:start w:val="1"/>
      <w:numFmt w:val="lowerRoman"/>
      <w:lvlText w:val="%9."/>
      <w:lvlJc w:val="right"/>
      <w:pPr>
        <w:ind w:left="6480" w:hanging="180"/>
      </w:pPr>
    </w:lvl>
  </w:abstractNum>
  <w:num w:numId="1" w16cid:durableId="1975524273">
    <w:abstractNumId w:val="1"/>
  </w:num>
  <w:num w:numId="2" w16cid:durableId="2030790520">
    <w:abstractNumId w:val="2"/>
  </w:num>
  <w:num w:numId="3" w16cid:durableId="23412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B1D"/>
    <w:rsid w:val="00017FB4"/>
    <w:rsid w:val="00045236"/>
    <w:rsid w:val="00055E99"/>
    <w:rsid w:val="00065B1D"/>
    <w:rsid w:val="000738F5"/>
    <w:rsid w:val="00095493"/>
    <w:rsid w:val="000A336A"/>
    <w:rsid w:val="000B64BE"/>
    <w:rsid w:val="000C23D0"/>
    <w:rsid w:val="000C3C0B"/>
    <w:rsid w:val="000C5299"/>
    <w:rsid w:val="000D1A1A"/>
    <w:rsid w:val="000D7977"/>
    <w:rsid w:val="00101913"/>
    <w:rsid w:val="00115CE9"/>
    <w:rsid w:val="00144762"/>
    <w:rsid w:val="00146EA4"/>
    <w:rsid w:val="00187211"/>
    <w:rsid w:val="001A1C17"/>
    <w:rsid w:val="001A240F"/>
    <w:rsid w:val="001D3AC5"/>
    <w:rsid w:val="001F42F3"/>
    <w:rsid w:val="00231631"/>
    <w:rsid w:val="00251C53"/>
    <w:rsid w:val="002669DA"/>
    <w:rsid w:val="00271CDB"/>
    <w:rsid w:val="00286FC3"/>
    <w:rsid w:val="002A3123"/>
    <w:rsid w:val="002B176C"/>
    <w:rsid w:val="002B19EA"/>
    <w:rsid w:val="002B41B0"/>
    <w:rsid w:val="002B7797"/>
    <w:rsid w:val="002C0C99"/>
    <w:rsid w:val="002C455C"/>
    <w:rsid w:val="002E69A0"/>
    <w:rsid w:val="002F3EB7"/>
    <w:rsid w:val="002F5351"/>
    <w:rsid w:val="002F53B8"/>
    <w:rsid w:val="0030057F"/>
    <w:rsid w:val="00302392"/>
    <w:rsid w:val="0031284F"/>
    <w:rsid w:val="003174BF"/>
    <w:rsid w:val="00322514"/>
    <w:rsid w:val="003416A0"/>
    <w:rsid w:val="003572D1"/>
    <w:rsid w:val="00376A54"/>
    <w:rsid w:val="00376D97"/>
    <w:rsid w:val="003C056C"/>
    <w:rsid w:val="003D6837"/>
    <w:rsid w:val="004027D9"/>
    <w:rsid w:val="00423F89"/>
    <w:rsid w:val="00450C98"/>
    <w:rsid w:val="00462557"/>
    <w:rsid w:val="0049483B"/>
    <w:rsid w:val="004A752C"/>
    <w:rsid w:val="004A795B"/>
    <w:rsid w:val="004B1383"/>
    <w:rsid w:val="004B1992"/>
    <w:rsid w:val="004D0543"/>
    <w:rsid w:val="004F03C2"/>
    <w:rsid w:val="004F0413"/>
    <w:rsid w:val="00517AA4"/>
    <w:rsid w:val="005258EC"/>
    <w:rsid w:val="00532FFE"/>
    <w:rsid w:val="00535ED9"/>
    <w:rsid w:val="005450F1"/>
    <w:rsid w:val="0055713C"/>
    <w:rsid w:val="00573E14"/>
    <w:rsid w:val="005760FF"/>
    <w:rsid w:val="00576647"/>
    <w:rsid w:val="00585332"/>
    <w:rsid w:val="0059792C"/>
    <w:rsid w:val="005B716E"/>
    <w:rsid w:val="005C05B1"/>
    <w:rsid w:val="005C2804"/>
    <w:rsid w:val="005D56CB"/>
    <w:rsid w:val="005E12E9"/>
    <w:rsid w:val="005E217C"/>
    <w:rsid w:val="005E6EFB"/>
    <w:rsid w:val="005F28C9"/>
    <w:rsid w:val="00603635"/>
    <w:rsid w:val="006251C8"/>
    <w:rsid w:val="0063325E"/>
    <w:rsid w:val="00647A80"/>
    <w:rsid w:val="00662906"/>
    <w:rsid w:val="00663123"/>
    <w:rsid w:val="00694AEA"/>
    <w:rsid w:val="006B64F0"/>
    <w:rsid w:val="006F1409"/>
    <w:rsid w:val="006F5DD6"/>
    <w:rsid w:val="0070661F"/>
    <w:rsid w:val="00706D57"/>
    <w:rsid w:val="00731188"/>
    <w:rsid w:val="007336C4"/>
    <w:rsid w:val="007375BD"/>
    <w:rsid w:val="007554A6"/>
    <w:rsid w:val="007B0357"/>
    <w:rsid w:val="007C7E73"/>
    <w:rsid w:val="00801148"/>
    <w:rsid w:val="00816AFF"/>
    <w:rsid w:val="00827734"/>
    <w:rsid w:val="00834BCF"/>
    <w:rsid w:val="008522D9"/>
    <w:rsid w:val="0085449D"/>
    <w:rsid w:val="00860A94"/>
    <w:rsid w:val="00863CB8"/>
    <w:rsid w:val="008A36A3"/>
    <w:rsid w:val="008B5DF5"/>
    <w:rsid w:val="008C25B8"/>
    <w:rsid w:val="00912CFE"/>
    <w:rsid w:val="00947BDC"/>
    <w:rsid w:val="00950A40"/>
    <w:rsid w:val="00972253"/>
    <w:rsid w:val="00975780"/>
    <w:rsid w:val="00984B70"/>
    <w:rsid w:val="009C2F22"/>
    <w:rsid w:val="009D00EE"/>
    <w:rsid w:val="009D3DDD"/>
    <w:rsid w:val="009E3DA8"/>
    <w:rsid w:val="00A15995"/>
    <w:rsid w:val="00A20D1E"/>
    <w:rsid w:val="00A22036"/>
    <w:rsid w:val="00A24D84"/>
    <w:rsid w:val="00A30B64"/>
    <w:rsid w:val="00A43E70"/>
    <w:rsid w:val="00A8242C"/>
    <w:rsid w:val="00A941E9"/>
    <w:rsid w:val="00AA23E7"/>
    <w:rsid w:val="00AA4031"/>
    <w:rsid w:val="00AB03B1"/>
    <w:rsid w:val="00AD17BE"/>
    <w:rsid w:val="00AE41B5"/>
    <w:rsid w:val="00B44C14"/>
    <w:rsid w:val="00B53E06"/>
    <w:rsid w:val="00B57361"/>
    <w:rsid w:val="00B61C3E"/>
    <w:rsid w:val="00B71E06"/>
    <w:rsid w:val="00B7241D"/>
    <w:rsid w:val="00B75340"/>
    <w:rsid w:val="00BB362D"/>
    <w:rsid w:val="00BB5359"/>
    <w:rsid w:val="00BC415C"/>
    <w:rsid w:val="00BC4A47"/>
    <w:rsid w:val="00BC5F18"/>
    <w:rsid w:val="00BD074D"/>
    <w:rsid w:val="00BF4F46"/>
    <w:rsid w:val="00C3731A"/>
    <w:rsid w:val="00C40002"/>
    <w:rsid w:val="00C472A9"/>
    <w:rsid w:val="00C479D7"/>
    <w:rsid w:val="00C5660E"/>
    <w:rsid w:val="00C64CE5"/>
    <w:rsid w:val="00C65DE6"/>
    <w:rsid w:val="00C764E0"/>
    <w:rsid w:val="00C91BCD"/>
    <w:rsid w:val="00C930B9"/>
    <w:rsid w:val="00C97640"/>
    <w:rsid w:val="00CA344D"/>
    <w:rsid w:val="00CA6DE4"/>
    <w:rsid w:val="00CB5980"/>
    <w:rsid w:val="00CC7298"/>
    <w:rsid w:val="00CD23C3"/>
    <w:rsid w:val="00CE127D"/>
    <w:rsid w:val="00CE6C77"/>
    <w:rsid w:val="00CF2132"/>
    <w:rsid w:val="00D017F8"/>
    <w:rsid w:val="00D053AB"/>
    <w:rsid w:val="00D07DE0"/>
    <w:rsid w:val="00D14980"/>
    <w:rsid w:val="00D265CE"/>
    <w:rsid w:val="00D63693"/>
    <w:rsid w:val="00D63FEC"/>
    <w:rsid w:val="00D69C64"/>
    <w:rsid w:val="00D80B2C"/>
    <w:rsid w:val="00D90910"/>
    <w:rsid w:val="00DB1BED"/>
    <w:rsid w:val="00DB42C0"/>
    <w:rsid w:val="00DC00F9"/>
    <w:rsid w:val="00DC2235"/>
    <w:rsid w:val="00DC3574"/>
    <w:rsid w:val="00E10AE2"/>
    <w:rsid w:val="00E319F9"/>
    <w:rsid w:val="00E36E9B"/>
    <w:rsid w:val="00E37805"/>
    <w:rsid w:val="00E4303F"/>
    <w:rsid w:val="00E716EF"/>
    <w:rsid w:val="00E90022"/>
    <w:rsid w:val="00E9333A"/>
    <w:rsid w:val="00EA6B2D"/>
    <w:rsid w:val="00EA733B"/>
    <w:rsid w:val="00EC48DB"/>
    <w:rsid w:val="00F027B3"/>
    <w:rsid w:val="00F12A3B"/>
    <w:rsid w:val="00F37420"/>
    <w:rsid w:val="00F417A5"/>
    <w:rsid w:val="00F73937"/>
    <w:rsid w:val="00F864AA"/>
    <w:rsid w:val="00F90ADD"/>
    <w:rsid w:val="00FC35E9"/>
    <w:rsid w:val="00FC662C"/>
    <w:rsid w:val="00FC75E6"/>
    <w:rsid w:val="00FD0365"/>
    <w:rsid w:val="00FE5C75"/>
    <w:rsid w:val="00FF5641"/>
    <w:rsid w:val="00FF6AC3"/>
    <w:rsid w:val="019D7ABA"/>
    <w:rsid w:val="024A3C6C"/>
    <w:rsid w:val="02D93AF9"/>
    <w:rsid w:val="02F68147"/>
    <w:rsid w:val="056D9CAE"/>
    <w:rsid w:val="05B1D9B1"/>
    <w:rsid w:val="05DF1EAD"/>
    <w:rsid w:val="07BB392E"/>
    <w:rsid w:val="07FAEC60"/>
    <w:rsid w:val="088D3A4F"/>
    <w:rsid w:val="0934D95B"/>
    <w:rsid w:val="09DF0C06"/>
    <w:rsid w:val="0A72AF76"/>
    <w:rsid w:val="0AA57F04"/>
    <w:rsid w:val="0B147A03"/>
    <w:rsid w:val="0B2D7361"/>
    <w:rsid w:val="0BFC9658"/>
    <w:rsid w:val="0C34D84B"/>
    <w:rsid w:val="0C4FB76C"/>
    <w:rsid w:val="0D39A416"/>
    <w:rsid w:val="0D6FAE59"/>
    <w:rsid w:val="0E334693"/>
    <w:rsid w:val="0E76C09B"/>
    <w:rsid w:val="0E7CFC8A"/>
    <w:rsid w:val="0F06A0E9"/>
    <w:rsid w:val="1068943C"/>
    <w:rsid w:val="10B7200F"/>
    <w:rsid w:val="116A37F5"/>
    <w:rsid w:val="126C751E"/>
    <w:rsid w:val="12BEF39D"/>
    <w:rsid w:val="15118B96"/>
    <w:rsid w:val="158D55F8"/>
    <w:rsid w:val="163622A0"/>
    <w:rsid w:val="16867A9E"/>
    <w:rsid w:val="16BC69B0"/>
    <w:rsid w:val="171DC212"/>
    <w:rsid w:val="1800D6EB"/>
    <w:rsid w:val="18CDB827"/>
    <w:rsid w:val="1925AD1C"/>
    <w:rsid w:val="1957AE86"/>
    <w:rsid w:val="1A3BF249"/>
    <w:rsid w:val="1A9E5C7B"/>
    <w:rsid w:val="1AAF4A02"/>
    <w:rsid w:val="1B1D7ACD"/>
    <w:rsid w:val="1BA1815A"/>
    <w:rsid w:val="1C0BB35C"/>
    <w:rsid w:val="1CE58DE2"/>
    <w:rsid w:val="1D0C4FC5"/>
    <w:rsid w:val="1DC9609E"/>
    <w:rsid w:val="1E922DE5"/>
    <w:rsid w:val="1EB5F078"/>
    <w:rsid w:val="1EF63714"/>
    <w:rsid w:val="1EF75793"/>
    <w:rsid w:val="21580E58"/>
    <w:rsid w:val="2209F0DD"/>
    <w:rsid w:val="225CCFA1"/>
    <w:rsid w:val="236AFB30"/>
    <w:rsid w:val="2527D5C1"/>
    <w:rsid w:val="25AB71B9"/>
    <w:rsid w:val="263E3183"/>
    <w:rsid w:val="27A574C7"/>
    <w:rsid w:val="28133FD8"/>
    <w:rsid w:val="288F7C0F"/>
    <w:rsid w:val="2929FB5D"/>
    <w:rsid w:val="2BCAE6F7"/>
    <w:rsid w:val="2D519967"/>
    <w:rsid w:val="2EA27C8D"/>
    <w:rsid w:val="2ED1EA1C"/>
    <w:rsid w:val="2ED5A5BD"/>
    <w:rsid w:val="2F1866B4"/>
    <w:rsid w:val="2F8E3C9C"/>
    <w:rsid w:val="2FE2B797"/>
    <w:rsid w:val="2FEC03E1"/>
    <w:rsid w:val="2FF41B8D"/>
    <w:rsid w:val="310A326A"/>
    <w:rsid w:val="31D0DDCA"/>
    <w:rsid w:val="322F8200"/>
    <w:rsid w:val="331FECEC"/>
    <w:rsid w:val="33B1DDCC"/>
    <w:rsid w:val="345AB2E2"/>
    <w:rsid w:val="345E5B7A"/>
    <w:rsid w:val="34B4DC08"/>
    <w:rsid w:val="34D7D1C0"/>
    <w:rsid w:val="35C60914"/>
    <w:rsid w:val="37710FCA"/>
    <w:rsid w:val="37B14000"/>
    <w:rsid w:val="37F50667"/>
    <w:rsid w:val="38043C3C"/>
    <w:rsid w:val="382EC660"/>
    <w:rsid w:val="388CA493"/>
    <w:rsid w:val="395900E9"/>
    <w:rsid w:val="3967C917"/>
    <w:rsid w:val="396B566B"/>
    <w:rsid w:val="3AD9B137"/>
    <w:rsid w:val="3AFE4C2C"/>
    <w:rsid w:val="3E6EA9E0"/>
    <w:rsid w:val="3E7948F2"/>
    <w:rsid w:val="3F5479AA"/>
    <w:rsid w:val="40137D3B"/>
    <w:rsid w:val="40252A94"/>
    <w:rsid w:val="403E3512"/>
    <w:rsid w:val="409008CF"/>
    <w:rsid w:val="409A6DB0"/>
    <w:rsid w:val="411C2618"/>
    <w:rsid w:val="428536C6"/>
    <w:rsid w:val="42BA1C63"/>
    <w:rsid w:val="4357C4CD"/>
    <w:rsid w:val="44CDFFB4"/>
    <w:rsid w:val="457C317C"/>
    <w:rsid w:val="4585218A"/>
    <w:rsid w:val="4659FA73"/>
    <w:rsid w:val="47B44EFF"/>
    <w:rsid w:val="47C4F565"/>
    <w:rsid w:val="481F5C18"/>
    <w:rsid w:val="4853B31F"/>
    <w:rsid w:val="48B6EDBD"/>
    <w:rsid w:val="495BDF90"/>
    <w:rsid w:val="49C4328F"/>
    <w:rsid w:val="4A52B706"/>
    <w:rsid w:val="4A5E6F3E"/>
    <w:rsid w:val="4ABFA91C"/>
    <w:rsid w:val="4AEB2A19"/>
    <w:rsid w:val="4B165251"/>
    <w:rsid w:val="4BA4133D"/>
    <w:rsid w:val="4BA71E84"/>
    <w:rsid w:val="4BBC7FE5"/>
    <w:rsid w:val="4BDEBA76"/>
    <w:rsid w:val="4C4D06C9"/>
    <w:rsid w:val="4D39D76F"/>
    <w:rsid w:val="4D77A3A7"/>
    <w:rsid w:val="4D97252B"/>
    <w:rsid w:val="4ED44A28"/>
    <w:rsid w:val="4ED75189"/>
    <w:rsid w:val="4F33CA04"/>
    <w:rsid w:val="50C6D60F"/>
    <w:rsid w:val="512B5E5C"/>
    <w:rsid w:val="52254ADB"/>
    <w:rsid w:val="52317AB5"/>
    <w:rsid w:val="529576AB"/>
    <w:rsid w:val="537F4F4A"/>
    <w:rsid w:val="542A2221"/>
    <w:rsid w:val="543B8D71"/>
    <w:rsid w:val="55F9E55A"/>
    <w:rsid w:val="571B50A4"/>
    <w:rsid w:val="5802B344"/>
    <w:rsid w:val="587F10FB"/>
    <w:rsid w:val="58BE194E"/>
    <w:rsid w:val="5917AD30"/>
    <w:rsid w:val="593D1598"/>
    <w:rsid w:val="5A745142"/>
    <w:rsid w:val="5A76C02A"/>
    <w:rsid w:val="5A8EBAB3"/>
    <w:rsid w:val="5AA4C4A6"/>
    <w:rsid w:val="5AC20EE5"/>
    <w:rsid w:val="5AF95CD7"/>
    <w:rsid w:val="5C6D9743"/>
    <w:rsid w:val="5C8874C8"/>
    <w:rsid w:val="5E23AAA4"/>
    <w:rsid w:val="5E618B87"/>
    <w:rsid w:val="5F4AAF8B"/>
    <w:rsid w:val="606417FE"/>
    <w:rsid w:val="61A8BFB5"/>
    <w:rsid w:val="62417085"/>
    <w:rsid w:val="62656FEC"/>
    <w:rsid w:val="6275054C"/>
    <w:rsid w:val="62AD1B28"/>
    <w:rsid w:val="62E68DED"/>
    <w:rsid w:val="62EAE903"/>
    <w:rsid w:val="63AA1CD2"/>
    <w:rsid w:val="63AFFFF1"/>
    <w:rsid w:val="63C5E297"/>
    <w:rsid w:val="63CC1563"/>
    <w:rsid w:val="65436D9E"/>
    <w:rsid w:val="658CE6FB"/>
    <w:rsid w:val="66141892"/>
    <w:rsid w:val="662077D1"/>
    <w:rsid w:val="66366C1E"/>
    <w:rsid w:val="664E66B2"/>
    <w:rsid w:val="6677ED13"/>
    <w:rsid w:val="669635FD"/>
    <w:rsid w:val="67C9CC1A"/>
    <w:rsid w:val="67E7FF52"/>
    <w:rsid w:val="68410DD6"/>
    <w:rsid w:val="6885B50B"/>
    <w:rsid w:val="69437D42"/>
    <w:rsid w:val="6A9F15DE"/>
    <w:rsid w:val="6B0EEA4F"/>
    <w:rsid w:val="6B51AA2B"/>
    <w:rsid w:val="6B79F5F8"/>
    <w:rsid w:val="6BDC583C"/>
    <w:rsid w:val="6C0AC2AB"/>
    <w:rsid w:val="6D5685EA"/>
    <w:rsid w:val="6D7FF152"/>
    <w:rsid w:val="6EB44C95"/>
    <w:rsid w:val="6EBE4A4A"/>
    <w:rsid w:val="6EFC2C96"/>
    <w:rsid w:val="6FF837DF"/>
    <w:rsid w:val="70457271"/>
    <w:rsid w:val="711886DE"/>
    <w:rsid w:val="71E6FF84"/>
    <w:rsid w:val="723DF644"/>
    <w:rsid w:val="729C9D09"/>
    <w:rsid w:val="72FCA587"/>
    <w:rsid w:val="737462AA"/>
    <w:rsid w:val="73A5D036"/>
    <w:rsid w:val="73DCFBBE"/>
    <w:rsid w:val="7465EC2C"/>
    <w:rsid w:val="752BC1EC"/>
    <w:rsid w:val="765475A9"/>
    <w:rsid w:val="7655DB29"/>
    <w:rsid w:val="777A7BEC"/>
    <w:rsid w:val="77C73FDC"/>
    <w:rsid w:val="7810DD71"/>
    <w:rsid w:val="7837F87B"/>
    <w:rsid w:val="7A5D344D"/>
    <w:rsid w:val="7A6D22B3"/>
    <w:rsid w:val="7B27E189"/>
    <w:rsid w:val="7B709AC9"/>
    <w:rsid w:val="7D801D72"/>
    <w:rsid w:val="7DA14292"/>
    <w:rsid w:val="7E3A5E71"/>
    <w:rsid w:val="7EF10103"/>
    <w:rsid w:val="7F39505E"/>
    <w:rsid w:val="7F61F0A2"/>
    <w:rsid w:val="7FAA6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60B403E"/>
  <w15:chartTrackingRefBased/>
  <w15:docId w15:val="{35FD45EA-9FDB-5848-9EF9-4CADA177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640"/>
    <w:rPr>
      <w:rFonts w:eastAsiaTheme="majorEastAsia" w:cstheme="majorBidi"/>
      <w:color w:val="272727" w:themeColor="text1" w:themeTint="D8"/>
    </w:rPr>
  </w:style>
  <w:style w:type="paragraph" w:styleId="Title">
    <w:name w:val="Title"/>
    <w:basedOn w:val="Normal"/>
    <w:next w:val="Normal"/>
    <w:link w:val="TitleChar"/>
    <w:uiPriority w:val="10"/>
    <w:qFormat/>
    <w:rsid w:val="00C9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640"/>
    <w:pPr>
      <w:spacing w:before="160"/>
      <w:jc w:val="center"/>
    </w:pPr>
    <w:rPr>
      <w:i/>
      <w:iCs/>
      <w:color w:val="404040" w:themeColor="text1" w:themeTint="BF"/>
    </w:rPr>
  </w:style>
  <w:style w:type="character" w:customStyle="1" w:styleId="QuoteChar">
    <w:name w:val="Quote Char"/>
    <w:basedOn w:val="DefaultParagraphFont"/>
    <w:link w:val="Quote"/>
    <w:uiPriority w:val="29"/>
    <w:rsid w:val="00C97640"/>
    <w:rPr>
      <w:i/>
      <w:iCs/>
      <w:color w:val="404040" w:themeColor="text1" w:themeTint="BF"/>
    </w:rPr>
  </w:style>
  <w:style w:type="paragraph" w:styleId="ListParagraph">
    <w:name w:val="List Paragraph"/>
    <w:basedOn w:val="Normal"/>
    <w:uiPriority w:val="34"/>
    <w:qFormat/>
    <w:rsid w:val="00C97640"/>
    <w:pPr>
      <w:ind w:left="720"/>
      <w:contextualSpacing/>
    </w:pPr>
  </w:style>
  <w:style w:type="character" w:styleId="IntenseEmphasis">
    <w:name w:val="Intense Emphasis"/>
    <w:basedOn w:val="DefaultParagraphFont"/>
    <w:uiPriority w:val="21"/>
    <w:qFormat/>
    <w:rsid w:val="00C97640"/>
    <w:rPr>
      <w:i/>
      <w:iCs/>
      <w:color w:val="0F4761" w:themeColor="accent1" w:themeShade="BF"/>
    </w:rPr>
  </w:style>
  <w:style w:type="paragraph" w:styleId="IntenseQuote">
    <w:name w:val="Intense Quote"/>
    <w:basedOn w:val="Normal"/>
    <w:next w:val="Normal"/>
    <w:link w:val="IntenseQuoteChar"/>
    <w:uiPriority w:val="30"/>
    <w:qFormat/>
    <w:rsid w:val="00C9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640"/>
    <w:rPr>
      <w:i/>
      <w:iCs/>
      <w:color w:val="0F4761" w:themeColor="accent1" w:themeShade="BF"/>
    </w:rPr>
  </w:style>
  <w:style w:type="character" w:styleId="IntenseReference">
    <w:name w:val="Intense Reference"/>
    <w:basedOn w:val="DefaultParagraphFont"/>
    <w:uiPriority w:val="32"/>
    <w:qFormat/>
    <w:rsid w:val="00C97640"/>
    <w:rPr>
      <w:b/>
      <w:bCs/>
      <w:smallCaps/>
      <w:color w:val="0F4761" w:themeColor="accent1" w:themeShade="BF"/>
      <w:spacing w:val="5"/>
    </w:rPr>
  </w:style>
  <w:style w:type="paragraph" w:styleId="NormalWeb">
    <w:name w:val="Normal (Web)"/>
    <w:basedOn w:val="Normal"/>
    <w:uiPriority w:val="99"/>
    <w:unhideWhenUsed/>
    <w:rsid w:val="00C976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97640"/>
    <w:rPr>
      <w:color w:val="467886" w:themeColor="hyperlink"/>
      <w:u w:val="single"/>
    </w:rPr>
  </w:style>
  <w:style w:type="character" w:styleId="UnresolvedMention">
    <w:name w:val="Unresolved Mention"/>
    <w:basedOn w:val="DefaultParagraphFont"/>
    <w:uiPriority w:val="99"/>
    <w:semiHidden/>
    <w:unhideWhenUsed/>
    <w:rsid w:val="00C97640"/>
    <w:rPr>
      <w:color w:val="605E5C"/>
      <w:shd w:val="clear" w:color="auto" w:fill="E1DFDD"/>
    </w:rPr>
  </w:style>
  <w:style w:type="character" w:styleId="FollowedHyperlink">
    <w:name w:val="FollowedHyperlink"/>
    <w:basedOn w:val="DefaultParagraphFont"/>
    <w:uiPriority w:val="99"/>
    <w:semiHidden/>
    <w:unhideWhenUsed/>
    <w:rsid w:val="00C97640"/>
    <w:rPr>
      <w:color w:val="96607D" w:themeColor="followedHyperlink"/>
      <w:u w:val="single"/>
    </w:rPr>
  </w:style>
  <w:style w:type="character" w:customStyle="1" w:styleId="whitespace-normal">
    <w:name w:val="whitespace-normal"/>
    <w:basedOn w:val="DefaultParagraphFont"/>
    <w:rsid w:val="004D0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j/Downloads/Group%209%20&#8211;%20Group%20Case%20Briefing%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Group 9 – Group Case Briefing 2.dotx</Template>
  <TotalTime>0</TotalTime>
  <Pages>4</Pages>
  <Words>1383</Words>
  <Characters>7248</Characters>
  <Application>Microsoft Office Word</Application>
  <DocSecurity>0</DocSecurity>
  <Lines>129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Jao</dc:creator>
  <cp:keywords/>
  <dc:description/>
  <cp:lastModifiedBy>Jao, Emily</cp:lastModifiedBy>
  <cp:revision>1</cp:revision>
  <cp:lastPrinted>2026-03-04T02:50:00Z</cp:lastPrinted>
  <dcterms:created xsi:type="dcterms:W3CDTF">2026-03-04T02:50:00Z</dcterms:created>
  <dcterms:modified xsi:type="dcterms:W3CDTF">2026-03-04T02:52:00Z</dcterms:modified>
</cp:coreProperties>
</file>