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E5FDD" w14:textId="77777777" w:rsidR="00D44EA1" w:rsidRDefault="00D44EA1" w:rsidP="00D44EA1">
      <w:pPr>
        <w:pStyle w:val="NormalWeb"/>
        <w:spacing w:before="180" w:beforeAutospacing="0" w:after="180" w:afterAutospacing="0"/>
        <w:jc w:val="center"/>
        <w:rPr>
          <w:b/>
          <w:bCs/>
          <w:color w:val="000000" w:themeColor="text1"/>
        </w:rPr>
      </w:pPr>
    </w:p>
    <w:p w14:paraId="7E304C5E" w14:textId="77777777" w:rsidR="00D44EA1" w:rsidRDefault="00D44EA1" w:rsidP="00D44EA1">
      <w:pPr>
        <w:pStyle w:val="NormalWeb"/>
        <w:spacing w:before="180" w:beforeAutospacing="0" w:after="180" w:afterAutospacing="0"/>
        <w:jc w:val="center"/>
        <w:rPr>
          <w:b/>
          <w:bCs/>
          <w:color w:val="000000" w:themeColor="text1"/>
        </w:rPr>
      </w:pPr>
    </w:p>
    <w:p w14:paraId="1DEE9D00" w14:textId="77777777" w:rsidR="00D44EA1" w:rsidRDefault="00D44EA1" w:rsidP="00D44EA1">
      <w:pPr>
        <w:pStyle w:val="NormalWeb"/>
        <w:spacing w:before="180" w:beforeAutospacing="0" w:after="180" w:afterAutospacing="0"/>
        <w:jc w:val="center"/>
        <w:rPr>
          <w:b/>
          <w:bCs/>
          <w:color w:val="000000" w:themeColor="text1"/>
        </w:rPr>
      </w:pPr>
    </w:p>
    <w:p w14:paraId="6609BD39" w14:textId="77777777" w:rsidR="00D44EA1" w:rsidRDefault="00D44EA1" w:rsidP="00D44EA1">
      <w:pPr>
        <w:pStyle w:val="NormalWeb"/>
        <w:spacing w:before="180" w:beforeAutospacing="0" w:after="180" w:afterAutospacing="0"/>
        <w:jc w:val="center"/>
        <w:rPr>
          <w:b/>
          <w:bCs/>
          <w:color w:val="000000" w:themeColor="text1"/>
        </w:rPr>
      </w:pPr>
    </w:p>
    <w:p w14:paraId="1EAD24B4" w14:textId="77777777" w:rsidR="00D44EA1" w:rsidRDefault="00D44EA1" w:rsidP="00D44EA1">
      <w:pPr>
        <w:pStyle w:val="NormalWeb"/>
        <w:spacing w:before="180" w:beforeAutospacing="0" w:after="180" w:afterAutospacing="0"/>
        <w:jc w:val="center"/>
        <w:rPr>
          <w:b/>
          <w:bCs/>
          <w:color w:val="000000" w:themeColor="text1"/>
        </w:rPr>
      </w:pPr>
    </w:p>
    <w:p w14:paraId="7365BD91" w14:textId="77777777" w:rsidR="00D44EA1" w:rsidRDefault="00D44EA1" w:rsidP="00D44EA1">
      <w:pPr>
        <w:pStyle w:val="NormalWeb"/>
        <w:spacing w:before="180" w:beforeAutospacing="0" w:after="180" w:afterAutospacing="0"/>
        <w:jc w:val="center"/>
        <w:rPr>
          <w:b/>
          <w:bCs/>
          <w:color w:val="000000" w:themeColor="text1"/>
        </w:rPr>
      </w:pPr>
    </w:p>
    <w:p w14:paraId="21265C03" w14:textId="77777777" w:rsidR="00D44EA1" w:rsidRDefault="00D44EA1" w:rsidP="00D44EA1">
      <w:pPr>
        <w:pStyle w:val="NormalWeb"/>
        <w:spacing w:before="180" w:beforeAutospacing="0" w:after="180" w:afterAutospacing="0"/>
        <w:jc w:val="center"/>
        <w:rPr>
          <w:b/>
          <w:bCs/>
          <w:color w:val="000000" w:themeColor="text1"/>
        </w:rPr>
      </w:pPr>
    </w:p>
    <w:p w14:paraId="57A4ADFD" w14:textId="77777777" w:rsidR="00D44EA1" w:rsidRDefault="00D44EA1" w:rsidP="00D44EA1">
      <w:pPr>
        <w:pStyle w:val="NormalWeb"/>
        <w:spacing w:before="180" w:beforeAutospacing="0" w:after="180" w:afterAutospacing="0"/>
        <w:jc w:val="center"/>
        <w:rPr>
          <w:b/>
          <w:bCs/>
          <w:color w:val="000000" w:themeColor="text1"/>
        </w:rPr>
      </w:pPr>
    </w:p>
    <w:p w14:paraId="63B3A703" w14:textId="77777777" w:rsidR="00D44EA1" w:rsidRDefault="00D44EA1" w:rsidP="00D44EA1">
      <w:pPr>
        <w:pStyle w:val="NormalWeb"/>
        <w:spacing w:before="180" w:beforeAutospacing="0" w:after="180" w:afterAutospacing="0"/>
        <w:jc w:val="center"/>
        <w:rPr>
          <w:b/>
          <w:bCs/>
          <w:color w:val="000000" w:themeColor="text1"/>
        </w:rPr>
      </w:pPr>
    </w:p>
    <w:p w14:paraId="7E1B11B3" w14:textId="77777777" w:rsidR="00D44EA1" w:rsidRDefault="00D44EA1" w:rsidP="00D44EA1">
      <w:pPr>
        <w:pStyle w:val="NormalWeb"/>
        <w:spacing w:before="180" w:beforeAutospacing="0" w:after="180" w:afterAutospacing="0"/>
        <w:jc w:val="center"/>
        <w:rPr>
          <w:b/>
          <w:bCs/>
          <w:color w:val="000000" w:themeColor="text1"/>
        </w:rPr>
      </w:pPr>
    </w:p>
    <w:p w14:paraId="6F830AA4" w14:textId="7608BB1B" w:rsidR="00D44EA1" w:rsidRPr="007A1F94" w:rsidRDefault="00D44EA1" w:rsidP="00D44EA1">
      <w:pPr>
        <w:pStyle w:val="NormalWeb"/>
        <w:spacing w:before="180" w:beforeAutospacing="0" w:after="180" w:afterAutospacing="0"/>
        <w:jc w:val="center"/>
        <w:rPr>
          <w:b/>
          <w:bCs/>
          <w:color w:val="000000" w:themeColor="text1"/>
        </w:rPr>
      </w:pPr>
      <w:r>
        <w:rPr>
          <w:b/>
          <w:bCs/>
          <w:color w:val="000000" w:themeColor="text1"/>
        </w:rPr>
        <w:t xml:space="preserve">Group Case Briefing </w:t>
      </w:r>
      <w:r w:rsidR="006301C0">
        <w:rPr>
          <w:b/>
          <w:bCs/>
          <w:color w:val="000000" w:themeColor="text1"/>
        </w:rPr>
        <w:t>5</w:t>
      </w:r>
      <w:r w:rsidRPr="17DED7D1">
        <w:rPr>
          <w:b/>
          <w:bCs/>
          <w:color w:val="000000" w:themeColor="text1"/>
        </w:rPr>
        <w:t xml:space="preserve"> </w:t>
      </w:r>
      <w:r>
        <w:rPr>
          <w:b/>
          <w:bCs/>
          <w:color w:val="000000" w:themeColor="text1"/>
        </w:rPr>
        <w:t>– Group 9</w:t>
      </w:r>
    </w:p>
    <w:p w14:paraId="113C3722" w14:textId="77777777" w:rsidR="00D44EA1" w:rsidRDefault="00D44EA1" w:rsidP="00D44EA1">
      <w:pPr>
        <w:pStyle w:val="NormalWeb"/>
        <w:spacing w:before="180" w:beforeAutospacing="0" w:after="180" w:afterAutospacing="0"/>
        <w:jc w:val="center"/>
        <w:rPr>
          <w:b/>
          <w:bCs/>
          <w:color w:val="000000" w:themeColor="text1"/>
        </w:rPr>
      </w:pPr>
    </w:p>
    <w:p w14:paraId="4E1BC913" w14:textId="77777777" w:rsidR="00D44EA1" w:rsidRPr="006C14AA" w:rsidRDefault="00D44EA1" w:rsidP="00D44EA1">
      <w:pPr>
        <w:pStyle w:val="NormalWeb"/>
        <w:spacing w:before="180" w:beforeAutospacing="0" w:after="180" w:afterAutospacing="0"/>
        <w:jc w:val="center"/>
        <w:rPr>
          <w:color w:val="000000" w:themeColor="text1"/>
        </w:rPr>
      </w:pPr>
      <w:r>
        <w:rPr>
          <w:color w:val="000000" w:themeColor="text1"/>
        </w:rPr>
        <w:t xml:space="preserve">Emily Jao, </w:t>
      </w:r>
      <w:proofErr w:type="spellStart"/>
      <w:r>
        <w:rPr>
          <w:color w:val="000000" w:themeColor="text1"/>
        </w:rPr>
        <w:t>Haidah</w:t>
      </w:r>
      <w:proofErr w:type="spellEnd"/>
      <w:r>
        <w:rPr>
          <w:color w:val="000000" w:themeColor="text1"/>
        </w:rPr>
        <w:t xml:space="preserve"> Saad, Minh Nguyen, Sai Anurag Sudagauni, Simone Orange</w:t>
      </w:r>
    </w:p>
    <w:p w14:paraId="1AFDC0CF" w14:textId="77777777" w:rsidR="00D44EA1" w:rsidRDefault="00D44EA1" w:rsidP="00D44EA1">
      <w:pPr>
        <w:pStyle w:val="NormalWeb"/>
        <w:spacing w:before="180" w:beforeAutospacing="0" w:after="180" w:afterAutospacing="0"/>
        <w:jc w:val="center"/>
        <w:rPr>
          <w:color w:val="000000" w:themeColor="text1"/>
        </w:rPr>
      </w:pPr>
      <w:r>
        <w:rPr>
          <w:color w:val="000000" w:themeColor="text1"/>
        </w:rPr>
        <w:t>The Pennsylvania State University</w:t>
      </w:r>
    </w:p>
    <w:p w14:paraId="13DA960D" w14:textId="77777777" w:rsidR="00D44EA1" w:rsidRDefault="00D44EA1" w:rsidP="00D44EA1">
      <w:pPr>
        <w:pStyle w:val="NormalWeb"/>
        <w:spacing w:before="180" w:beforeAutospacing="0" w:after="180" w:afterAutospacing="0"/>
        <w:jc w:val="center"/>
        <w:rPr>
          <w:color w:val="000000" w:themeColor="text1"/>
        </w:rPr>
      </w:pPr>
      <w:r>
        <w:rPr>
          <w:color w:val="000000" w:themeColor="text1"/>
        </w:rPr>
        <w:t>IST 432: Legal and Regulatory Environment of Information Science and Technology</w:t>
      </w:r>
    </w:p>
    <w:p w14:paraId="43BB23D3" w14:textId="77777777" w:rsidR="00D44EA1" w:rsidRDefault="00D44EA1" w:rsidP="00D44EA1">
      <w:pPr>
        <w:pStyle w:val="NormalWeb"/>
        <w:spacing w:before="180" w:beforeAutospacing="0" w:after="180" w:afterAutospacing="0"/>
        <w:jc w:val="center"/>
        <w:rPr>
          <w:color w:val="000000" w:themeColor="text1"/>
        </w:rPr>
      </w:pPr>
      <w:r>
        <w:rPr>
          <w:color w:val="000000" w:themeColor="text1"/>
        </w:rPr>
        <w:t xml:space="preserve">Prof. Marc Friedenberg </w:t>
      </w:r>
    </w:p>
    <w:p w14:paraId="7D5A2AD8" w14:textId="3BBDC9C3" w:rsidR="00D44EA1" w:rsidRDefault="00024205" w:rsidP="00D44EA1">
      <w:pPr>
        <w:pStyle w:val="NormalWeb"/>
        <w:spacing w:before="180" w:beforeAutospacing="0" w:after="180" w:afterAutospacing="0"/>
        <w:jc w:val="center"/>
        <w:rPr>
          <w:color w:val="000000" w:themeColor="text1"/>
        </w:rPr>
      </w:pPr>
      <w:r>
        <w:rPr>
          <w:color w:val="000000" w:themeColor="text1"/>
        </w:rPr>
        <w:t>April 20th</w:t>
      </w:r>
      <w:r w:rsidR="00D44EA1" w:rsidRPr="79017F23">
        <w:rPr>
          <w:color w:val="000000" w:themeColor="text1"/>
        </w:rPr>
        <w:t>, 2026</w:t>
      </w:r>
    </w:p>
    <w:p w14:paraId="072A8E78" w14:textId="77777777" w:rsidR="00D44EA1" w:rsidRDefault="00D44EA1" w:rsidP="00D44EA1"/>
    <w:p w14:paraId="06A83796" w14:textId="77777777" w:rsidR="00D44EA1" w:rsidRDefault="00D44EA1" w:rsidP="00D44EA1">
      <w:pPr>
        <w:rPr>
          <w:rFonts w:ascii="Times New Roman" w:eastAsia="Times New Roman" w:hAnsi="Times New Roman" w:cs="Times New Roman"/>
          <w:color w:val="003D5B"/>
          <w:kern w:val="0"/>
          <w14:ligatures w14:val="none"/>
        </w:rPr>
      </w:pPr>
    </w:p>
    <w:p w14:paraId="7E692C7C" w14:textId="77777777" w:rsidR="00D44EA1" w:rsidRDefault="00D44EA1" w:rsidP="00D44EA1">
      <w:pPr>
        <w:rPr>
          <w:rFonts w:ascii="Times New Roman" w:eastAsia="Times New Roman" w:hAnsi="Times New Roman" w:cs="Times New Roman"/>
          <w:color w:val="003D5B"/>
          <w:kern w:val="0"/>
          <w14:ligatures w14:val="none"/>
        </w:rPr>
      </w:pPr>
    </w:p>
    <w:p w14:paraId="23DC9DB0" w14:textId="77777777" w:rsidR="00D44EA1" w:rsidRDefault="00D44EA1" w:rsidP="00D44EA1">
      <w:pPr>
        <w:rPr>
          <w:rFonts w:ascii="Times New Roman" w:eastAsia="Times New Roman" w:hAnsi="Times New Roman" w:cs="Times New Roman"/>
          <w:color w:val="003D5B"/>
          <w:kern w:val="0"/>
          <w14:ligatures w14:val="none"/>
        </w:rPr>
      </w:pPr>
    </w:p>
    <w:p w14:paraId="619A4087" w14:textId="77777777" w:rsidR="00D44EA1" w:rsidRDefault="00D44EA1" w:rsidP="00D44EA1">
      <w:pPr>
        <w:rPr>
          <w:rFonts w:ascii="Times New Roman" w:eastAsia="Times New Roman" w:hAnsi="Times New Roman" w:cs="Times New Roman"/>
          <w:color w:val="003D5B"/>
          <w:kern w:val="0"/>
          <w14:ligatures w14:val="none"/>
        </w:rPr>
      </w:pPr>
    </w:p>
    <w:p w14:paraId="75AA61D7" w14:textId="77777777" w:rsidR="00D44EA1" w:rsidRDefault="00D44EA1" w:rsidP="00D44EA1">
      <w:pPr>
        <w:rPr>
          <w:rFonts w:ascii="Times New Roman" w:eastAsia="Times New Roman" w:hAnsi="Times New Roman" w:cs="Times New Roman"/>
          <w:color w:val="003D5B"/>
          <w:kern w:val="0"/>
          <w14:ligatures w14:val="none"/>
        </w:rPr>
      </w:pPr>
    </w:p>
    <w:p w14:paraId="24787D67" w14:textId="77777777" w:rsidR="00D44EA1" w:rsidRDefault="00D44EA1" w:rsidP="00D44EA1">
      <w:pPr>
        <w:rPr>
          <w:rFonts w:ascii="Times New Roman" w:eastAsia="Times New Roman" w:hAnsi="Times New Roman" w:cs="Times New Roman"/>
          <w:color w:val="003D5B"/>
          <w:kern w:val="0"/>
          <w14:ligatures w14:val="none"/>
        </w:rPr>
      </w:pPr>
    </w:p>
    <w:p w14:paraId="3D6F9B7B" w14:textId="77777777" w:rsidR="00D44EA1" w:rsidRDefault="00D44EA1" w:rsidP="00D44EA1">
      <w:pPr>
        <w:rPr>
          <w:rFonts w:ascii="Times New Roman" w:eastAsia="Times New Roman" w:hAnsi="Times New Roman" w:cs="Times New Roman"/>
          <w:color w:val="003D5B"/>
          <w:kern w:val="0"/>
          <w14:ligatures w14:val="none"/>
        </w:rPr>
      </w:pPr>
    </w:p>
    <w:p w14:paraId="7DAC86F6" w14:textId="77777777" w:rsidR="00D44EA1" w:rsidRDefault="00D44EA1" w:rsidP="00D44EA1">
      <w:pPr>
        <w:rPr>
          <w:rFonts w:ascii="Times New Roman" w:eastAsia="Times New Roman" w:hAnsi="Times New Roman" w:cs="Times New Roman"/>
          <w:color w:val="003D5B"/>
          <w:kern w:val="0"/>
          <w14:ligatures w14:val="none"/>
        </w:rPr>
      </w:pPr>
    </w:p>
    <w:p w14:paraId="452ED05A" w14:textId="77777777" w:rsidR="006301C0" w:rsidRDefault="006301C0" w:rsidP="00D44EA1">
      <w:pPr>
        <w:autoSpaceDE w:val="0"/>
        <w:autoSpaceDN w:val="0"/>
        <w:adjustRightInd w:val="0"/>
        <w:spacing w:after="0" w:line="240" w:lineRule="auto"/>
        <w:rPr>
          <w:rFonts w:ascii="Times New Roman" w:hAnsi="Times New Roman" w:cs="Times New Roman"/>
          <w:b/>
          <w:bCs/>
          <w:kern w:val="0"/>
        </w:rPr>
      </w:pPr>
    </w:p>
    <w:p w14:paraId="52F4A41B" w14:textId="77777777" w:rsidR="00827CC0" w:rsidRDefault="00827CC0" w:rsidP="00D44EA1">
      <w:pPr>
        <w:autoSpaceDE w:val="0"/>
        <w:autoSpaceDN w:val="0"/>
        <w:adjustRightInd w:val="0"/>
        <w:spacing w:after="0" w:line="240" w:lineRule="auto"/>
        <w:rPr>
          <w:rFonts w:ascii="Times New Roman" w:hAnsi="Times New Roman" w:cs="Times New Roman"/>
          <w:b/>
          <w:bCs/>
          <w:kern w:val="0"/>
        </w:rPr>
      </w:pPr>
    </w:p>
    <w:p w14:paraId="245F6A71" w14:textId="1DBEFB20" w:rsidR="00D44EA1" w:rsidRPr="006301C0" w:rsidRDefault="00D44EA1" w:rsidP="00D44EA1">
      <w:pPr>
        <w:autoSpaceDE w:val="0"/>
        <w:autoSpaceDN w:val="0"/>
        <w:adjustRightInd w:val="0"/>
        <w:spacing w:after="0" w:line="240" w:lineRule="auto"/>
        <w:rPr>
          <w:rFonts w:ascii="Times New Roman" w:hAnsi="Times New Roman" w:cs="Times New Roman"/>
          <w:color w:val="000000" w:themeColor="text1"/>
        </w:rPr>
      </w:pPr>
      <w:r w:rsidRPr="006301C0">
        <w:rPr>
          <w:rFonts w:ascii="Times New Roman" w:hAnsi="Times New Roman" w:cs="Times New Roman"/>
          <w:b/>
          <w:bCs/>
          <w:color w:val="000000" w:themeColor="text1"/>
          <w:kern w:val="0"/>
        </w:rPr>
        <w:lastRenderedPageBreak/>
        <w:t xml:space="preserve">Title/Citation: </w:t>
      </w:r>
    </w:p>
    <w:p w14:paraId="7B833203" w14:textId="598AD298" w:rsidR="00D44EA1" w:rsidRPr="006301C0" w:rsidRDefault="00D44EA1" w:rsidP="00D44EA1">
      <w:pPr>
        <w:autoSpaceDE w:val="0"/>
        <w:autoSpaceDN w:val="0"/>
        <w:adjustRightInd w:val="0"/>
        <w:spacing w:after="0" w:line="240" w:lineRule="auto"/>
        <w:rPr>
          <w:rFonts w:ascii="Times New Roman" w:hAnsi="Times New Roman" w:cs="Times New Roman"/>
          <w:color w:val="000000" w:themeColor="text1"/>
          <w:kern w:val="0"/>
        </w:rPr>
      </w:pPr>
      <w:r w:rsidRPr="006301C0">
        <w:rPr>
          <w:rFonts w:ascii="Times New Roman" w:hAnsi="Times New Roman" w:cs="Times New Roman"/>
          <w:color w:val="000000" w:themeColor="text1"/>
        </w:rPr>
        <w:t>Chad Eichenberger v. ESPN, Inc., No. 15-35449 (9th Cir. Nov. 29, 2017)</w:t>
      </w:r>
    </w:p>
    <w:p w14:paraId="092BDDC9" w14:textId="77777777" w:rsidR="00D44EA1" w:rsidRPr="006301C0" w:rsidRDefault="00D44EA1" w:rsidP="00D44EA1">
      <w:pPr>
        <w:autoSpaceDE w:val="0"/>
        <w:autoSpaceDN w:val="0"/>
        <w:adjustRightInd w:val="0"/>
        <w:spacing w:after="0" w:line="240" w:lineRule="auto"/>
        <w:rPr>
          <w:rFonts w:ascii="Times New Roman" w:hAnsi="Times New Roman" w:cs="Times New Roman"/>
          <w:color w:val="000000" w:themeColor="text1"/>
          <w:kern w:val="0"/>
        </w:rPr>
      </w:pPr>
    </w:p>
    <w:p w14:paraId="206694E6" w14:textId="7F8F5509" w:rsidR="006301C0" w:rsidRPr="006301C0" w:rsidRDefault="00D44EA1" w:rsidP="00D44EA1">
      <w:pPr>
        <w:autoSpaceDE w:val="0"/>
        <w:autoSpaceDN w:val="0"/>
        <w:adjustRightInd w:val="0"/>
        <w:spacing w:after="0" w:line="240" w:lineRule="auto"/>
        <w:rPr>
          <w:rFonts w:ascii="Times New Roman" w:hAnsi="Times New Roman" w:cs="Times New Roman"/>
          <w:color w:val="000000" w:themeColor="text1"/>
        </w:rPr>
      </w:pPr>
      <w:r w:rsidRPr="006301C0">
        <w:rPr>
          <w:rFonts w:ascii="Times New Roman" w:hAnsi="Times New Roman" w:cs="Times New Roman"/>
          <w:b/>
          <w:bCs/>
          <w:color w:val="000000" w:themeColor="text1"/>
          <w:kern w:val="0"/>
        </w:rPr>
        <w:t>Procedural History:</w:t>
      </w:r>
      <w:r w:rsidRPr="006301C0">
        <w:rPr>
          <w:rFonts w:ascii="Times New Roman" w:eastAsia="MS Gothic" w:hAnsi="Times New Roman" w:cs="Times New Roman"/>
          <w:color w:val="000000" w:themeColor="text1"/>
          <w:kern w:val="0"/>
        </w:rPr>
        <w:t xml:space="preserve"> </w:t>
      </w:r>
    </w:p>
    <w:p w14:paraId="5D14FDF5" w14:textId="6ED6D81C" w:rsidR="00D44EA1" w:rsidRPr="006301C0" w:rsidRDefault="70130393" w:rsidP="00D44EA1">
      <w:pPr>
        <w:autoSpaceDE w:val="0"/>
        <w:autoSpaceDN w:val="0"/>
        <w:adjustRightInd w:val="0"/>
        <w:spacing w:after="0" w:line="240" w:lineRule="auto"/>
        <w:rPr>
          <w:rFonts w:ascii="Times New Roman" w:hAnsi="Times New Roman" w:cs="Times New Roman"/>
          <w:color w:val="000000" w:themeColor="text1"/>
        </w:rPr>
      </w:pPr>
      <w:r w:rsidRPr="006301C0">
        <w:rPr>
          <w:rFonts w:ascii="Times New Roman" w:hAnsi="Times New Roman" w:cs="Times New Roman"/>
          <w:color w:val="000000" w:themeColor="text1"/>
          <w:shd w:val="clear" w:color="auto" w:fill="FFFFFF"/>
        </w:rPr>
        <w:t xml:space="preserve">Plaintiff Chad Eichenberger filed a lawsuit against ESPN, Inc. </w:t>
      </w:r>
      <w:r w:rsidR="4CAC569C" w:rsidRPr="006301C0">
        <w:rPr>
          <w:rFonts w:ascii="Times New Roman" w:hAnsi="Times New Roman" w:cs="Times New Roman"/>
          <w:color w:val="000000" w:themeColor="text1"/>
          <w:shd w:val="clear" w:color="auto" w:fill="FFFFFF"/>
        </w:rPr>
        <w:t xml:space="preserve">in the United States District Court. He alleged that ESPN violated the Video Privacy Protection Act of 1988 (VPPA) by disclosing his video-watching information to a third party, Adobe Analytics. The district court dismissed the complaint under Federal Rule of Civil Procedure 12(b)(6) for failure to state a claim, finding that the information disclosed did not constitute “personally identifiable information” under the VPPA. Eichenberger appealed the dismissal to the United States Court of Appeals for the Ninth Circuit. The Ninth Circuit </w:t>
      </w:r>
      <w:bookmarkStart w:id="0" w:name="_Int_0dSelfEY"/>
      <w:r w:rsidR="4CAC569C" w:rsidRPr="006301C0">
        <w:rPr>
          <w:rFonts w:ascii="Times New Roman" w:hAnsi="Times New Roman" w:cs="Times New Roman"/>
          <w:color w:val="000000" w:themeColor="text1"/>
          <w:shd w:val="clear" w:color="auto" w:fill="FFFFFF"/>
        </w:rPr>
        <w:t>ultimately affirmed</w:t>
      </w:r>
      <w:bookmarkEnd w:id="0"/>
      <w:r w:rsidR="4CAC569C" w:rsidRPr="006301C0">
        <w:rPr>
          <w:rFonts w:ascii="Times New Roman" w:hAnsi="Times New Roman" w:cs="Times New Roman"/>
          <w:color w:val="000000" w:themeColor="text1"/>
          <w:shd w:val="clear" w:color="auto" w:fill="FFFFFF"/>
        </w:rPr>
        <w:t xml:space="preserve"> the district court’s decision.</w:t>
      </w:r>
    </w:p>
    <w:p w14:paraId="0EFF5A31" w14:textId="77777777" w:rsidR="00D44EA1" w:rsidRPr="006301C0" w:rsidRDefault="00D44EA1" w:rsidP="00D44EA1">
      <w:pPr>
        <w:autoSpaceDE w:val="0"/>
        <w:autoSpaceDN w:val="0"/>
        <w:adjustRightInd w:val="0"/>
        <w:spacing w:after="0" w:line="240" w:lineRule="auto"/>
        <w:rPr>
          <w:rFonts w:ascii="Times New Roman" w:hAnsi="Times New Roman" w:cs="Times New Roman"/>
          <w:color w:val="000000" w:themeColor="text1"/>
          <w:kern w:val="0"/>
        </w:rPr>
      </w:pPr>
    </w:p>
    <w:p w14:paraId="75875F08" w14:textId="64BAEA38" w:rsidR="00D44EA1" w:rsidRPr="006301C0" w:rsidRDefault="00D44EA1" w:rsidP="00D44EA1">
      <w:pPr>
        <w:spacing w:after="0" w:line="240" w:lineRule="auto"/>
        <w:rPr>
          <w:rFonts w:ascii="Times New Roman" w:eastAsia="Times New Roman" w:hAnsi="Times New Roman" w:cs="Times New Roman"/>
          <w:color w:val="000000" w:themeColor="text1"/>
          <w:kern w:val="0"/>
          <w14:ligatures w14:val="none"/>
        </w:rPr>
      </w:pPr>
      <w:r w:rsidRPr="006301C0">
        <w:rPr>
          <w:rFonts w:ascii="Times New Roman" w:eastAsia="Times New Roman" w:hAnsi="Times New Roman" w:cs="Times New Roman"/>
          <w:b/>
          <w:bCs/>
          <w:color w:val="000000" w:themeColor="text1"/>
          <w:kern w:val="0"/>
          <w14:ligatures w14:val="none"/>
        </w:rPr>
        <w:t>Facts/Synopsis:</w:t>
      </w:r>
      <w:r w:rsidRPr="006301C0">
        <w:rPr>
          <w:rFonts w:ascii="Times New Roman" w:eastAsia="Times New Roman" w:hAnsi="Times New Roman" w:cs="Times New Roman"/>
          <w:color w:val="000000" w:themeColor="text1"/>
          <w:kern w:val="0"/>
          <w14:ligatures w14:val="none"/>
        </w:rPr>
        <w:t xml:space="preserve"> </w:t>
      </w:r>
    </w:p>
    <w:p w14:paraId="481DD33B" w14:textId="0F883A31" w:rsidR="00D44EA1" w:rsidRPr="006301C0" w:rsidRDefault="00D44EA1" w:rsidP="00D44EA1">
      <w:pPr>
        <w:spacing w:after="0" w:line="240" w:lineRule="auto"/>
        <w:rPr>
          <w:rFonts w:ascii="Times New Roman" w:eastAsia="Times New Roman" w:hAnsi="Times New Roman" w:cs="Times New Roman"/>
          <w:color w:val="000000" w:themeColor="text1"/>
          <w:kern w:val="0"/>
          <w14:ligatures w14:val="none"/>
        </w:rPr>
      </w:pPr>
      <w:r w:rsidRPr="006301C0">
        <w:rPr>
          <w:rFonts w:ascii="Times New Roman" w:hAnsi="Times New Roman" w:cs="Times New Roman"/>
          <w:color w:val="000000" w:themeColor="text1"/>
          <w:shd w:val="clear" w:color="auto" w:fill="FFFFFF"/>
        </w:rPr>
        <w:t>ESPN manages an application-based sports media and entertainment network that delivers video through apps like WatchESPN, which are available on platforms including Roku. The plaintiff downloaded the app and viewed videos related to sports through it.</w:t>
      </w:r>
      <w:r w:rsidRPr="006301C0">
        <w:rPr>
          <w:rFonts w:ascii="Times New Roman" w:hAnsi="Times New Roman" w:cs="Times New Roman"/>
          <w:color w:val="000000" w:themeColor="text1"/>
          <w:shd w:val="clear" w:color="auto" w:fill="FFFFFF"/>
        </w:rPr>
        <w:br/>
      </w:r>
      <w:r w:rsidRPr="006301C0">
        <w:rPr>
          <w:rFonts w:ascii="Times New Roman" w:hAnsi="Times New Roman" w:cs="Times New Roman"/>
          <w:color w:val="000000" w:themeColor="text1"/>
          <w:shd w:val="clear" w:color="auto" w:fill="FFFFFF"/>
        </w:rPr>
        <w:br/>
        <w:t>According to Eichenberger, every time he watched a video, ESPN transmitted two items of information to a third-party analytics company, Adobe Analytics: (1) his Roku device serial number and (2) the identity of the video he watched. He claimed that this information was shared without his consent.</w:t>
      </w:r>
      <w:r w:rsidRPr="006301C0">
        <w:rPr>
          <w:rFonts w:ascii="Times New Roman" w:hAnsi="Times New Roman" w:cs="Times New Roman"/>
          <w:color w:val="000000" w:themeColor="text1"/>
          <w:shd w:val="clear" w:color="auto" w:fill="FFFFFF"/>
        </w:rPr>
        <w:br/>
      </w:r>
      <w:r w:rsidRPr="006301C0">
        <w:rPr>
          <w:rFonts w:ascii="Times New Roman" w:hAnsi="Times New Roman" w:cs="Times New Roman"/>
          <w:color w:val="000000" w:themeColor="text1"/>
          <w:shd w:val="clear" w:color="auto" w:fill="FFFFFF"/>
        </w:rPr>
        <w:br/>
        <w:t xml:space="preserve">According to the allegations, Adobe Analytics was able to merge this data with other pieces of information that they already had access to, including email addresses and social media accounts. Adobe then returned aggregated </w:t>
      </w:r>
      <w:proofErr w:type="gramStart"/>
      <w:r w:rsidRPr="006301C0">
        <w:rPr>
          <w:rFonts w:ascii="Times New Roman" w:hAnsi="Times New Roman" w:cs="Times New Roman"/>
          <w:color w:val="000000" w:themeColor="text1"/>
          <w:shd w:val="clear" w:color="auto" w:fill="FFFFFF"/>
        </w:rPr>
        <w:t>data back</w:t>
      </w:r>
      <w:proofErr w:type="gramEnd"/>
      <w:r w:rsidRPr="006301C0">
        <w:rPr>
          <w:rFonts w:ascii="Times New Roman" w:hAnsi="Times New Roman" w:cs="Times New Roman"/>
          <w:color w:val="000000" w:themeColor="text1"/>
          <w:shd w:val="clear" w:color="auto" w:fill="FFFFFF"/>
        </w:rPr>
        <w:t xml:space="preserve"> to ESPN for advertising and analytics purposes.</w:t>
      </w:r>
      <w:r w:rsidRPr="006301C0">
        <w:rPr>
          <w:rFonts w:ascii="Times New Roman" w:hAnsi="Times New Roman" w:cs="Times New Roman"/>
          <w:color w:val="000000" w:themeColor="text1"/>
          <w:shd w:val="clear" w:color="auto" w:fill="FFFFFF"/>
        </w:rPr>
        <w:br/>
      </w:r>
      <w:r w:rsidRPr="006301C0">
        <w:rPr>
          <w:rFonts w:ascii="Times New Roman" w:hAnsi="Times New Roman" w:cs="Times New Roman"/>
          <w:color w:val="000000" w:themeColor="text1"/>
          <w:shd w:val="clear" w:color="auto" w:fill="FFFFFF"/>
        </w:rPr>
        <w:br/>
        <w:t>Eichenberger argued that ESPN’s disclosure of his device identifier and viewing history violated the VPPA because Adobe could use that data to identify him. ESPN argued that the information shared did not directly identify an individual on its own and therefore did not qualify as “personally identifiable information” under the statute.</w:t>
      </w:r>
      <w:r w:rsidRPr="006301C0">
        <w:rPr>
          <w:rFonts w:ascii="Times New Roman" w:hAnsi="Times New Roman" w:cs="Times New Roman"/>
          <w:color w:val="000000" w:themeColor="text1"/>
          <w:shd w:val="clear" w:color="auto" w:fill="FFFFFF"/>
        </w:rPr>
        <w:br/>
      </w:r>
      <w:r w:rsidRPr="006301C0">
        <w:rPr>
          <w:rFonts w:ascii="Times New Roman" w:hAnsi="Times New Roman" w:cs="Times New Roman"/>
          <w:color w:val="000000" w:themeColor="text1"/>
          <w:shd w:val="clear" w:color="auto" w:fill="FFFFFF"/>
        </w:rPr>
        <w:br/>
        <w:t>The Ninth Circuit agreed with ESPN. The court held that “personally identifiable information” under the VPPA refers only to information that would allow an ordinary person to directly identify a specific individual’s video-watching behavior. Because the disclosed data could not identify a person without additional external data held by Adobe (which ESPN did not provide), the court concluded that Eichenberger failed to state a claim. The dismissal was therefore affirmed.</w:t>
      </w:r>
    </w:p>
    <w:p w14:paraId="6555B56F" w14:textId="77777777" w:rsidR="00D44EA1" w:rsidRPr="006301C0" w:rsidRDefault="4CAC569C" w:rsidP="00D44EA1">
      <w:pPr>
        <w:pStyle w:val="NormalWeb"/>
        <w:spacing w:before="180" w:after="180"/>
        <w:rPr>
          <w:i/>
          <w:color w:val="000000" w:themeColor="text1"/>
        </w:rPr>
      </w:pPr>
      <w:r w:rsidRPr="2FFB4254">
        <w:rPr>
          <w:b/>
          <w:bCs/>
          <w:color w:val="000000" w:themeColor="text1"/>
        </w:rPr>
        <w:t>Legal Question/Issue:</w:t>
      </w:r>
      <w:r w:rsidRPr="2FFB4254">
        <w:rPr>
          <w:color w:val="000000" w:themeColor="text1"/>
        </w:rPr>
        <w:t xml:space="preserve"> </w:t>
      </w:r>
    </w:p>
    <w:p w14:paraId="20A6643A" w14:textId="221C3D2C" w:rsidR="21340C3B" w:rsidRDefault="21340C3B" w:rsidP="2FFB4254">
      <w:pPr>
        <w:pStyle w:val="NormalWeb"/>
        <w:numPr>
          <w:ilvl w:val="0"/>
          <w:numId w:val="1"/>
        </w:numPr>
        <w:spacing w:before="180" w:after="180"/>
        <w:rPr>
          <w:color w:val="000000" w:themeColor="text1"/>
        </w:rPr>
      </w:pPr>
      <w:r w:rsidRPr="2FFB4254">
        <w:rPr>
          <w:color w:val="000000" w:themeColor="text1"/>
        </w:rPr>
        <w:t xml:space="preserve">Does </w:t>
      </w:r>
      <w:r w:rsidR="2CC35F44" w:rsidRPr="2FFB4254">
        <w:rPr>
          <w:color w:val="000000" w:themeColor="text1"/>
        </w:rPr>
        <w:t xml:space="preserve">ESPN violate the Video Privacy Protection Act </w:t>
      </w:r>
      <w:r w:rsidR="73D68C13" w:rsidRPr="2FFB4254">
        <w:rPr>
          <w:color w:val="000000" w:themeColor="text1"/>
        </w:rPr>
        <w:t>by</w:t>
      </w:r>
      <w:r w:rsidR="2CC35F44" w:rsidRPr="2FFB4254">
        <w:rPr>
          <w:color w:val="000000" w:themeColor="text1"/>
        </w:rPr>
        <w:t xml:space="preserve"> disclosing</w:t>
      </w:r>
      <w:r w:rsidR="23E8482C" w:rsidRPr="2FFB4254">
        <w:rPr>
          <w:color w:val="000000" w:themeColor="text1"/>
        </w:rPr>
        <w:t xml:space="preserve"> the</w:t>
      </w:r>
      <w:r w:rsidR="2CC35F44" w:rsidRPr="2FFB4254">
        <w:rPr>
          <w:color w:val="000000" w:themeColor="text1"/>
        </w:rPr>
        <w:t xml:space="preserve"> plaintiff</w:t>
      </w:r>
      <w:r w:rsidR="5C71BE35" w:rsidRPr="2FFB4254">
        <w:rPr>
          <w:color w:val="000000" w:themeColor="text1"/>
        </w:rPr>
        <w:t>’s</w:t>
      </w:r>
      <w:r w:rsidR="63A7F565" w:rsidRPr="2FFB4254">
        <w:rPr>
          <w:color w:val="000000" w:themeColor="text1"/>
        </w:rPr>
        <w:t xml:space="preserve"> device identifiers and viewing data to </w:t>
      </w:r>
      <w:r w:rsidR="74180BC1" w:rsidRPr="2FFB4254">
        <w:rPr>
          <w:color w:val="000000" w:themeColor="text1"/>
        </w:rPr>
        <w:t xml:space="preserve">a </w:t>
      </w:r>
      <w:r w:rsidR="63A7F565" w:rsidRPr="2FFB4254">
        <w:rPr>
          <w:color w:val="000000" w:themeColor="text1"/>
        </w:rPr>
        <w:t>third party</w:t>
      </w:r>
      <w:r w:rsidR="012BAABA" w:rsidRPr="2FFB4254">
        <w:rPr>
          <w:color w:val="000000" w:themeColor="text1"/>
        </w:rPr>
        <w:t>,</w:t>
      </w:r>
      <w:r w:rsidR="63A7F565" w:rsidRPr="2FFB4254">
        <w:rPr>
          <w:color w:val="000000" w:themeColor="text1"/>
        </w:rPr>
        <w:t xml:space="preserve"> </w:t>
      </w:r>
      <w:r w:rsidR="5A3CC2D8" w:rsidRPr="2FFB4254">
        <w:rPr>
          <w:color w:val="000000" w:themeColor="text1"/>
        </w:rPr>
        <w:t xml:space="preserve">which </w:t>
      </w:r>
      <w:r w:rsidR="63A7F565" w:rsidRPr="2FFB4254">
        <w:rPr>
          <w:color w:val="000000" w:themeColor="text1"/>
        </w:rPr>
        <w:t>constitute</w:t>
      </w:r>
      <w:r w:rsidR="64695240" w:rsidRPr="2FFB4254">
        <w:rPr>
          <w:color w:val="000000" w:themeColor="text1"/>
        </w:rPr>
        <w:t>s</w:t>
      </w:r>
      <w:r w:rsidR="63A7F565" w:rsidRPr="2FFB4254">
        <w:rPr>
          <w:color w:val="000000" w:themeColor="text1"/>
        </w:rPr>
        <w:t xml:space="preserve"> “</w:t>
      </w:r>
      <w:r w:rsidR="2CC35F44" w:rsidRPr="2FFB4254">
        <w:rPr>
          <w:color w:val="000000" w:themeColor="text1"/>
        </w:rPr>
        <w:t>personal</w:t>
      </w:r>
      <w:r w:rsidR="7B5EFA81" w:rsidRPr="2FFB4254">
        <w:rPr>
          <w:color w:val="000000" w:themeColor="text1"/>
        </w:rPr>
        <w:t>ly</w:t>
      </w:r>
      <w:r w:rsidR="2CC35F44" w:rsidRPr="2FFB4254">
        <w:rPr>
          <w:color w:val="000000" w:themeColor="text1"/>
        </w:rPr>
        <w:t xml:space="preserve"> ide</w:t>
      </w:r>
      <w:r w:rsidR="14A0721D" w:rsidRPr="2FFB4254">
        <w:rPr>
          <w:color w:val="000000" w:themeColor="text1"/>
        </w:rPr>
        <w:t>ntifiable information</w:t>
      </w:r>
      <w:r w:rsidR="0B3333B9" w:rsidRPr="2FFB4254">
        <w:rPr>
          <w:color w:val="000000" w:themeColor="text1"/>
        </w:rPr>
        <w:t>”</w:t>
      </w:r>
      <w:r w:rsidR="6E30B160" w:rsidRPr="2FFB4254">
        <w:rPr>
          <w:color w:val="000000" w:themeColor="text1"/>
        </w:rPr>
        <w:t>?</w:t>
      </w:r>
    </w:p>
    <w:p w14:paraId="7AAFAC59" w14:textId="13A70BD6" w:rsidR="05E8141F" w:rsidRDefault="05E8141F" w:rsidP="2FFB4254">
      <w:pPr>
        <w:pStyle w:val="NormalWeb"/>
        <w:numPr>
          <w:ilvl w:val="0"/>
          <w:numId w:val="1"/>
        </w:numPr>
        <w:spacing w:before="180" w:after="180"/>
        <w:rPr>
          <w:color w:val="000000" w:themeColor="text1"/>
        </w:rPr>
      </w:pPr>
      <w:r w:rsidRPr="2FFB4254">
        <w:rPr>
          <w:color w:val="000000" w:themeColor="text1"/>
        </w:rPr>
        <w:t>Does the plaintiff have Article III standing based on th</w:t>
      </w:r>
      <w:r w:rsidR="70954604" w:rsidRPr="2FFB4254">
        <w:rPr>
          <w:color w:val="000000" w:themeColor="text1"/>
        </w:rPr>
        <w:t>e alleged statutory violation of the VPPA, without concrete harm?</w:t>
      </w:r>
    </w:p>
    <w:p w14:paraId="231F51EE" w14:textId="77777777" w:rsidR="00D44EA1" w:rsidRDefault="00D44EA1" w:rsidP="00D44EA1">
      <w:pPr>
        <w:pStyle w:val="NormalWeb"/>
        <w:spacing w:before="180" w:beforeAutospacing="0" w:after="180" w:afterAutospacing="0"/>
        <w:rPr>
          <w:color w:val="000000" w:themeColor="text1"/>
        </w:rPr>
      </w:pPr>
    </w:p>
    <w:p w14:paraId="1284D853" w14:textId="7FE8DAD0" w:rsidR="00D44EA1" w:rsidRDefault="00D44EA1" w:rsidP="00D44EA1">
      <w:pPr>
        <w:pStyle w:val="NormalWeb"/>
        <w:spacing w:before="180" w:beforeAutospacing="0" w:after="180" w:afterAutospacing="0"/>
        <w:rPr>
          <w:color w:val="000000" w:themeColor="text1"/>
        </w:rPr>
      </w:pPr>
      <w:r w:rsidRPr="4F057D0D">
        <w:rPr>
          <w:b/>
          <w:bCs/>
          <w:color w:val="000000" w:themeColor="text1"/>
        </w:rPr>
        <w:t xml:space="preserve">Legal Answers: </w:t>
      </w:r>
    </w:p>
    <w:p w14:paraId="4DF9CF97" w14:textId="68FC0656" w:rsidR="00D44EA1" w:rsidRDefault="4DD04C38" w:rsidP="2FFB4254">
      <w:pPr>
        <w:pStyle w:val="NormalWeb"/>
        <w:spacing w:before="180" w:beforeAutospacing="0" w:after="180" w:afterAutospacing="0"/>
      </w:pPr>
      <w:r>
        <w:t xml:space="preserve">No, </w:t>
      </w:r>
      <w:r w:rsidRPr="2FFB4254">
        <w:t>ESPN did not violate the Video Privacy Protection Act (VPPA). The court ruled that Roku serial numbers and video titles do not constitute PII. This data alone does not allow an ordinary person to identify a specific viewer. Because the information lacks the specificity required to identify an individual, the disclosure falls outside the scope of the VPPA.</w:t>
      </w:r>
    </w:p>
    <w:p w14:paraId="3367D675" w14:textId="302CB6E8" w:rsidR="4DD04C38" w:rsidRDefault="4DD04C38" w:rsidP="2FFB4254">
      <w:pPr>
        <w:pStyle w:val="NormalWeb"/>
        <w:spacing w:before="180" w:beforeAutospacing="0" w:after="180" w:afterAutospacing="0"/>
      </w:pPr>
      <w:r w:rsidRPr="2FFB4254">
        <w:t>Yes, the plaintiff has Article III standing</w:t>
      </w:r>
      <w:r w:rsidRPr="2FFB4254">
        <w:rPr>
          <w:b/>
          <w:bCs/>
        </w:rPr>
        <w:t>.</w:t>
      </w:r>
      <w:r w:rsidRPr="2FFB4254">
        <w:t xml:space="preserve"> The court held that a violation of the VPPA itself can create a concrete privacy injury, so the plaintiff did not need to show additional harm beyond the alleged disclosure of protected information to bring the claim.</w:t>
      </w:r>
    </w:p>
    <w:p w14:paraId="6E92B011" w14:textId="6B68C504" w:rsidR="00D44EA1" w:rsidRDefault="00D44EA1" w:rsidP="00D44EA1">
      <w:pPr>
        <w:pStyle w:val="NormalWeb"/>
        <w:spacing w:before="180" w:beforeAutospacing="0" w:after="180" w:afterAutospacing="0"/>
      </w:pPr>
      <w:r w:rsidRPr="5A52F927">
        <w:rPr>
          <w:b/>
          <w:bCs/>
          <w:color w:val="000000" w:themeColor="text1"/>
        </w:rPr>
        <w:t xml:space="preserve">Discussion and Rationale: </w:t>
      </w:r>
    </w:p>
    <w:p w14:paraId="140BC663" w14:textId="661629D5" w:rsidR="00D44EA1" w:rsidRDefault="41BDC772" w:rsidP="2FFB4254">
      <w:pPr>
        <w:pStyle w:val="NormalWeb"/>
        <w:spacing w:before="180" w:beforeAutospacing="0" w:after="180" w:afterAutospacing="0"/>
      </w:pPr>
      <w:r>
        <w:t xml:space="preserve">The Defendant's initial argument was that the Plaintiff could not have Article III standing due to not being able to prove there was concrete harm. The need to have Article III standing is required by the </w:t>
      </w:r>
      <w:bookmarkStart w:id="1" w:name="_Int_7H6Yn6g2"/>
      <w:r>
        <w:t>case</w:t>
      </w:r>
      <w:bookmarkEnd w:id="1"/>
      <w:r>
        <w:t xml:space="preserve"> </w:t>
      </w:r>
      <w:r w:rsidRPr="2FFB4254">
        <w:rPr>
          <w:i/>
          <w:iCs/>
        </w:rPr>
        <w:t>Spokeo, Inc. v. Robins</w:t>
      </w:r>
      <w:r>
        <w:t>, and the harm required is some form of suffered injury that is concrete and particularized</w:t>
      </w:r>
      <w:r w:rsidR="5364466E">
        <w:t>,</w:t>
      </w:r>
      <w:r>
        <w:t xml:space="preserve"> traceable to the defendant, and redressable and judicial order. The first part about having a concrete injury means that it must </w:t>
      </w:r>
      <w:bookmarkStart w:id="2" w:name="_Int_mTRsI7Zk"/>
      <w:proofErr w:type="gramStart"/>
      <w:r>
        <w:t>actually exist</w:t>
      </w:r>
      <w:bookmarkEnd w:id="2"/>
      <w:proofErr w:type="gramEnd"/>
      <w:r>
        <w:t>, but intangible harm can also be the injury</w:t>
      </w:r>
      <w:r w:rsidR="068CED28">
        <w:t>, so</w:t>
      </w:r>
      <w:r>
        <w:t xml:space="preserve"> it </w:t>
      </w:r>
      <w:r w:rsidR="774D6D4F">
        <w:t>needs to exist and at least</w:t>
      </w:r>
      <w:r>
        <w:t xml:space="preserve"> have a negative impact on the person who is being harmed.</w:t>
      </w:r>
      <w:r w:rsidR="3B71F91E">
        <w:t xml:space="preserve"> </w:t>
      </w:r>
      <w:r>
        <w:t xml:space="preserve">The </w:t>
      </w:r>
      <w:r w:rsidRPr="2FFB4254">
        <w:rPr>
          <w:i/>
          <w:iCs/>
        </w:rPr>
        <w:t>Spokeo</w:t>
      </w:r>
      <w:r>
        <w:t xml:space="preserve"> case </w:t>
      </w:r>
      <w:r w:rsidR="57DCD16E">
        <w:t>go</w:t>
      </w:r>
      <w:r>
        <w:t xml:space="preserve">es into whether a violation of procedural requirements by the Fair Credit Report </w:t>
      </w:r>
      <w:r w:rsidR="087CEBC7">
        <w:t>Act (</w:t>
      </w:r>
      <w:r>
        <w:t xml:space="preserve">FCRA) </w:t>
      </w:r>
      <w:bookmarkStart w:id="3" w:name="_Int_00TczL34"/>
      <w:proofErr w:type="gramStart"/>
      <w:r>
        <w:t xml:space="preserve">can be </w:t>
      </w:r>
      <w:r w:rsidR="13C2A281">
        <w:t xml:space="preserve">a sufficient </w:t>
      </w:r>
      <w:r>
        <w:t>injury</w:t>
      </w:r>
      <w:bookmarkEnd w:id="3"/>
      <w:proofErr w:type="gramEnd"/>
      <w:r>
        <w:t>. That case conclud</w:t>
      </w:r>
      <w:r w:rsidR="419E935F">
        <w:t>ed</w:t>
      </w:r>
      <w:r>
        <w:t xml:space="preserve"> there was enough </w:t>
      </w:r>
      <w:proofErr w:type="gramStart"/>
      <w:r>
        <w:t>for there to be</w:t>
      </w:r>
      <w:proofErr w:type="gramEnd"/>
      <w:r>
        <w:t xml:space="preserve"> Article III standing. They </w:t>
      </w:r>
      <w:bookmarkStart w:id="4" w:name="_Int_imwfNtcm"/>
      <w:proofErr w:type="gramStart"/>
      <w:r>
        <w:t>looked into</w:t>
      </w:r>
      <w:bookmarkEnd w:id="4"/>
      <w:proofErr w:type="gramEnd"/>
      <w:r>
        <w:t xml:space="preserve"> another source to solidify the decision for the Plaintiff's standing, which was a section of the VPPA provision being referenced throughout this case. The court dives into the substantive right to privacy in regards to video tape service providers and how one who "knowing</w:t>
      </w:r>
      <w:r w:rsidR="7316666D">
        <w:t>ly</w:t>
      </w:r>
      <w:r>
        <w:t xml:space="preserve"> discloses, to any person, personally identifiable information concerning any consumer of such provider shall be liable to the aggrieved person." 18 U.S.C. § 2710(b)(1) was used as reference for how a consumer's video viewing history should be protected. It also protects against </w:t>
      </w:r>
      <w:proofErr w:type="gramStart"/>
      <w:r>
        <w:t>harms</w:t>
      </w:r>
      <w:proofErr w:type="gramEnd"/>
      <w:r>
        <w:t xml:space="preserve"> such as "embarrassment and harassment" as well as ensuring consumers will have control over their person</w:t>
      </w:r>
      <w:r w:rsidR="78C3A06E">
        <w:t>al</w:t>
      </w:r>
      <w:r>
        <w:t xml:space="preserve"> information and can </w:t>
      </w:r>
      <w:proofErr w:type="gramStart"/>
      <w:r>
        <w:t>allow for</w:t>
      </w:r>
      <w:proofErr w:type="gramEnd"/>
      <w:r>
        <w:t xml:space="preserve"> consumers to "obtain damages for a violation of § 2710(b)(1) without showing consequential harm." The court was able to determine overall with both Spokeo I and II cases</w:t>
      </w:r>
      <w:r w:rsidR="1C15139A">
        <w:t xml:space="preserve"> </w:t>
      </w:r>
      <w:r w:rsidR="6BDCC16A">
        <w:t xml:space="preserve">and the VPPA </w:t>
      </w:r>
      <w:r>
        <w:t>that there is Article III standing.</w:t>
      </w:r>
    </w:p>
    <w:p w14:paraId="0C796F45" w14:textId="70196154" w:rsidR="00D44EA1" w:rsidRDefault="41BDC772" w:rsidP="2FFB4254">
      <w:pPr>
        <w:pStyle w:val="NormalWeb"/>
        <w:spacing w:before="180" w:beforeAutospacing="0" w:after="180" w:afterAutospacing="0"/>
      </w:pPr>
      <w:r>
        <w:t xml:space="preserve">The court also dismissed the Plaintiff's claim because the disclosed information </w:t>
      </w:r>
      <w:r w:rsidR="2FCFBEDE">
        <w:t>could not</w:t>
      </w:r>
      <w:r>
        <w:t xml:space="preserve"> be deemed as "personally identifiable information" through the meaning </w:t>
      </w:r>
      <w:r w:rsidR="6F0AB8B0">
        <w:t xml:space="preserve">obtained from </w:t>
      </w:r>
      <w:r>
        <w:t xml:space="preserve">the VPPA. Their overall reasoning </w:t>
      </w:r>
      <w:r w:rsidR="3CF4E6DE">
        <w:t>is based on t</w:t>
      </w:r>
      <w:r>
        <w:t>he definition, which is that it should be information that "identifies a person as having requested or obtained specific video materials or services from a video tape service provider."</w:t>
      </w:r>
      <w:r w:rsidR="04C1CC4E">
        <w:t xml:space="preserve"> </w:t>
      </w:r>
      <w:r>
        <w:t xml:space="preserve">They </w:t>
      </w:r>
      <w:bookmarkStart w:id="5" w:name="_Int_6InwErTY"/>
      <w:proofErr w:type="gramStart"/>
      <w:r>
        <w:t>looked into</w:t>
      </w:r>
      <w:bookmarkEnd w:id="5"/>
      <w:proofErr w:type="gramEnd"/>
      <w:r>
        <w:t xml:space="preserve"> what "personally identifiable information" should be and what it should include, which led to the conclusion that it is what is used to identify a person rather than only information that can identify an individual as having watched certain videos. They used information directly from the VPPA </w:t>
      </w:r>
      <w:r w:rsidR="67EF90A5">
        <w:t>to</w:t>
      </w:r>
      <w:r>
        <w:t xml:space="preserve"> narrow down that conclusion as well as looking at the meaning of different words in the VPPA.</w:t>
      </w:r>
      <w:r w:rsidR="28775922">
        <w:t xml:space="preserve"> </w:t>
      </w:r>
      <w:r>
        <w:t xml:space="preserve">The court also </w:t>
      </w:r>
      <w:bookmarkStart w:id="6" w:name="_Int_VjNR2Pxl"/>
      <w:proofErr w:type="gramStart"/>
      <w:r>
        <w:t>looked into</w:t>
      </w:r>
      <w:bookmarkEnd w:id="6"/>
      <w:proofErr w:type="gramEnd"/>
      <w:r>
        <w:t xml:space="preserve"> what information Congress believed should file under being able to identify an individual. The two </w:t>
      </w:r>
      <w:r w:rsidR="32E08F48">
        <w:t>cases,</w:t>
      </w:r>
      <w:r>
        <w:t xml:space="preserve"> </w:t>
      </w:r>
      <w:r w:rsidRPr="2FFB4254">
        <w:rPr>
          <w:i/>
          <w:iCs/>
        </w:rPr>
        <w:t>Yershov v. Gannett Satellite Info</w:t>
      </w:r>
      <w:r>
        <w:t xml:space="preserve"> and </w:t>
      </w:r>
      <w:bookmarkStart w:id="7" w:name="_Int_twb0KzSV"/>
      <w:proofErr w:type="gramStart"/>
      <w:r w:rsidRPr="2FFB4254">
        <w:rPr>
          <w:i/>
          <w:iCs/>
        </w:rPr>
        <w:t>In</w:t>
      </w:r>
      <w:bookmarkEnd w:id="7"/>
      <w:proofErr w:type="gramEnd"/>
      <w:r w:rsidRPr="2FFB4254">
        <w:rPr>
          <w:i/>
          <w:iCs/>
        </w:rPr>
        <w:t xml:space="preserve"> re Nickelodeon Consumer </w:t>
      </w:r>
      <w:proofErr w:type="gramStart"/>
      <w:r w:rsidRPr="2FFB4254">
        <w:rPr>
          <w:i/>
          <w:iCs/>
        </w:rPr>
        <w:t>privacy</w:t>
      </w:r>
      <w:proofErr w:type="gramEnd"/>
      <w:r w:rsidRPr="2FFB4254">
        <w:rPr>
          <w:i/>
          <w:iCs/>
        </w:rPr>
        <w:t xml:space="preserve"> Litig</w:t>
      </w:r>
      <w:r w:rsidR="24F1AA64" w:rsidRPr="2FFB4254">
        <w:rPr>
          <w:i/>
          <w:iCs/>
        </w:rPr>
        <w:t>.</w:t>
      </w:r>
      <w:r>
        <w:t xml:space="preserve"> were able to show different standards for that answer. The </w:t>
      </w:r>
      <w:r w:rsidRPr="2FFB4254">
        <w:rPr>
          <w:i/>
          <w:iCs/>
        </w:rPr>
        <w:t>Yershov</w:t>
      </w:r>
      <w:r>
        <w:t xml:space="preserve"> case showed that it would be information that is "reasonable and foreseeably likely" to reveal an </w:t>
      </w:r>
      <w:r w:rsidR="3372F760">
        <w:t>individual,</w:t>
      </w:r>
      <w:r>
        <w:t xml:space="preserve"> based upon the case </w:t>
      </w:r>
      <w:r w:rsidR="61CBEAFB">
        <w:t xml:space="preserve">involving </w:t>
      </w:r>
      <w:r>
        <w:t xml:space="preserve">an iPhone user's GPS coordinates which </w:t>
      </w:r>
      <w:r w:rsidR="371AD3AB">
        <w:t>were</w:t>
      </w:r>
      <w:r>
        <w:t xml:space="preserve"> within that range of identifiability. </w:t>
      </w:r>
      <w:r>
        <w:lastRenderedPageBreak/>
        <w:t xml:space="preserve">The </w:t>
      </w:r>
      <w:r w:rsidRPr="2FFB4254">
        <w:rPr>
          <w:i/>
          <w:iCs/>
        </w:rPr>
        <w:t>In re Nickelodeon</w:t>
      </w:r>
      <w:r>
        <w:t xml:space="preserve"> case was about a unique IP address and determined that it would not be "personally identifiable information," because the definition they used is about information that "readily permit[s] an ordinary person," which also led to the court wanting to use the ordinary person standard from that case.</w:t>
      </w:r>
      <w:r w:rsidR="18E07390">
        <w:t xml:space="preserve"> </w:t>
      </w:r>
      <w:r>
        <w:t xml:space="preserve">Using that standard as a test can help video service providers know how far they can go before their practices invade someone's privacy. The statute 18 U.S.C. § 2710(b)(1) also focuses on the information being disclosed by the video service provider rather than what the recipient decides to do with that information. And </w:t>
      </w:r>
      <w:r w:rsidR="36464478">
        <w:t>so,</w:t>
      </w:r>
      <w:r>
        <w:t xml:space="preserve"> the "personally identifiable information" is about the information being disclosed and </w:t>
      </w:r>
      <w:r w:rsidR="054F28B8">
        <w:t>does not</w:t>
      </w:r>
      <w:r>
        <w:t xml:space="preserve"> take into consideration what happens to it.</w:t>
      </w:r>
      <w:r w:rsidR="2A1EF4B5">
        <w:t xml:space="preserve"> </w:t>
      </w:r>
      <w:r>
        <w:t xml:space="preserve">The Plaintiff alleged that Adobe could </w:t>
      </w:r>
      <w:bookmarkStart w:id="8" w:name="_Int_Jc05d50E"/>
      <w:r w:rsidR="6B3072EB">
        <w:t>possibly</w:t>
      </w:r>
      <w:r>
        <w:t xml:space="preserve"> identify</w:t>
      </w:r>
      <w:bookmarkEnd w:id="8"/>
      <w:r>
        <w:t xml:space="preserve"> an individual, such as the Plaintiff, </w:t>
      </w:r>
      <w:r w:rsidR="3A5DBE17">
        <w:t xml:space="preserve">by using </w:t>
      </w:r>
      <w:r>
        <w:t xml:space="preserve">the large pool of data </w:t>
      </w:r>
      <w:r w:rsidR="442D764E">
        <w:t xml:space="preserve">and </w:t>
      </w:r>
      <w:r>
        <w:t>other information. Which led to the court deciding that the</w:t>
      </w:r>
      <w:r w:rsidR="7C42C97C">
        <w:t xml:space="preserve"> ESPN-provided</w:t>
      </w:r>
      <w:r>
        <w:t xml:space="preserve"> information, specifically the Roku device serial number and the video names, </w:t>
      </w:r>
      <w:r w:rsidR="39646046">
        <w:t>would not</w:t>
      </w:r>
      <w:r>
        <w:t xml:space="preserve"> be able to identify an </w:t>
      </w:r>
      <w:r w:rsidR="66BBADEA">
        <w:t>individual</w:t>
      </w:r>
      <w:r>
        <w:t xml:space="preserve"> unless </w:t>
      </w:r>
      <w:r w:rsidR="232DA95C">
        <w:t>Adobe</w:t>
      </w:r>
      <w:r>
        <w:t xml:space="preserve"> uses other data that ESPN </w:t>
      </w:r>
      <w:r w:rsidR="750628A4">
        <w:t>did not</w:t>
      </w:r>
      <w:r>
        <w:t xml:space="preserve"> have. It was concluded that an ordinary person would not be able to use the Defendant's disclosed information to identify an in</w:t>
      </w:r>
      <w:r w:rsidR="0E6DEFCA">
        <w:t>di</w:t>
      </w:r>
      <w:r>
        <w:t>vidual and so the Plaintiff's claim failed under Rule 12(b)(6).</w:t>
      </w:r>
    </w:p>
    <w:p w14:paraId="29AE5D8B" w14:textId="7AF9439A" w:rsidR="00D44EA1" w:rsidRPr="00FD726B" w:rsidRDefault="00D44EA1" w:rsidP="00D44EA1">
      <w:pPr>
        <w:pStyle w:val="NormalWeb"/>
        <w:spacing w:before="180" w:beforeAutospacing="0" w:after="180" w:afterAutospacing="0"/>
        <w:rPr>
          <w:b/>
          <w:bCs/>
          <w:color w:val="000000" w:themeColor="text1"/>
        </w:rPr>
      </w:pPr>
      <w:r w:rsidRPr="3AFE4C2C">
        <w:rPr>
          <w:b/>
          <w:bCs/>
          <w:color w:val="000000" w:themeColor="text1"/>
        </w:rPr>
        <w:t xml:space="preserve">Analysis: </w:t>
      </w:r>
    </w:p>
    <w:p w14:paraId="4791DBAD" w14:textId="77777777" w:rsidR="00015373" w:rsidRPr="00F25356" w:rsidRDefault="00015373" w:rsidP="00015373">
      <w:pPr>
        <w:spacing w:line="240" w:lineRule="auto"/>
        <w:rPr>
          <w:rFonts w:ascii="Times New Roman" w:hAnsi="Times New Roman" w:cs="Times New Roman"/>
        </w:rPr>
      </w:pPr>
      <w:r w:rsidRPr="00F25356">
        <w:rPr>
          <w:rFonts w:ascii="Times New Roman" w:hAnsi="Times New Roman" w:cs="Times New Roman"/>
        </w:rPr>
        <w:t xml:space="preserve">The court in </w:t>
      </w:r>
      <w:r w:rsidRPr="00F25356">
        <w:rPr>
          <w:rFonts w:ascii="Times New Roman" w:hAnsi="Times New Roman" w:cs="Times New Roman"/>
          <w:i/>
          <w:iCs/>
        </w:rPr>
        <w:t>Eichenberger v. ESPN</w:t>
      </w:r>
      <w:r w:rsidRPr="00F25356">
        <w:rPr>
          <w:rFonts w:ascii="Times New Roman" w:hAnsi="Times New Roman" w:cs="Times New Roman"/>
        </w:rPr>
        <w:t xml:space="preserve"> addressed two key issues: Article III standing and what counts as "personally identifiable information" under the VPPA. On standing, the court found that a VPPA violation alone is enough to bring a claim without needing to show additional harm, consistent with </w:t>
      </w:r>
      <w:r w:rsidRPr="00F25356">
        <w:rPr>
          <w:rFonts w:ascii="Times New Roman" w:hAnsi="Times New Roman" w:cs="Times New Roman"/>
          <w:i/>
          <w:iCs/>
        </w:rPr>
        <w:t>Spokeo</w:t>
      </w:r>
      <w:r w:rsidRPr="00F25356">
        <w:rPr>
          <w:rFonts w:ascii="Times New Roman" w:hAnsi="Times New Roman" w:cs="Times New Roman"/>
        </w:rPr>
        <w:t>. On PII, the court used the "ordinary person" standard, asking whether an ordinary person could use the disclosed information to identify someone. Because identifying Eichenberger required Adobe's separate data that ESPN never provided, the Roku serial number and video titles alone did not qualify as PII. The court also clarified that the focus is on what the provider discloses, not what the recipient later does with it.</w:t>
      </w:r>
    </w:p>
    <w:p w14:paraId="41A55C81" w14:textId="640435A1" w:rsidR="00015373" w:rsidRPr="00F25356" w:rsidRDefault="00015373" w:rsidP="00015373">
      <w:pPr>
        <w:spacing w:line="240" w:lineRule="auto"/>
        <w:rPr>
          <w:rFonts w:ascii="Times New Roman" w:hAnsi="Times New Roman" w:cs="Times New Roman"/>
        </w:rPr>
      </w:pPr>
      <w:r w:rsidRPr="00F25356">
        <w:rPr>
          <w:rFonts w:ascii="Times New Roman" w:hAnsi="Times New Roman" w:cs="Times New Roman"/>
        </w:rPr>
        <w:t xml:space="preserve">The decision highlights the limits of the VPPA in the modern digital age, as the 1988 statute does not fully account for how third parties can combine data points to identify individuals. </w:t>
      </w:r>
    </w:p>
    <w:p w14:paraId="30062243" w14:textId="77777777" w:rsidR="00E36E9B" w:rsidRDefault="00E36E9B"/>
    <w:sectPr w:rsidR="00E36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XHiZ+Z5y//Y+ZA" int2:id="DwDnNOHu">
      <int2:state int2:value="Rejected" int2:type="spell"/>
    </int2:textHash>
    <int2:textHash int2:hashCode="poNBiLlJsisy2w" int2:id="o8CxxRsc">
      <int2:state int2:value="Rejected" int2:type="spell"/>
    </int2:textHash>
    <int2:bookmark int2:bookmarkName="_Int_VjNR2Pxl" int2:invalidationBookmarkName="" int2:hashCode="QaCAzzJ//ndoNl" int2:id="CbN3zYLD">
      <int2:state int2:value="Rejected" int2:type="style"/>
    </int2:bookmark>
    <int2:bookmark int2:bookmarkName="_Int_mTRsI7Zk" int2:invalidationBookmarkName="" int2:hashCode="7rZ7o230uusPIG" int2:id="HQaN4oMT">
      <int2:state int2:value="Rejected" int2:type="style"/>
    </int2:bookmark>
    <int2:bookmark int2:bookmarkName="_Int_twb0KzSV" int2:invalidationBookmarkName="" int2:hashCode="rvNlAtZ7BSBlTe" int2:id="I8c83CjI">
      <int2:state int2:value="Rejected" int2:type="gram"/>
    </int2:bookmark>
    <int2:bookmark int2:bookmarkName="_Int_00TczL34" int2:invalidationBookmarkName="" int2:hashCode="heHZyFW0cCiBGk" int2:id="Iig8852E">
      <int2:state int2:value="Rejected" int2:type="gram"/>
    </int2:bookmark>
    <int2:bookmark int2:bookmarkName="_Int_6InwErTY" int2:invalidationBookmarkName="" int2:hashCode="QaCAzzJ//ndoNl" int2:id="OKNKXPZR">
      <int2:state int2:value="Rejected" int2:type="style"/>
    </int2:bookmark>
    <int2:bookmark int2:bookmarkName="_Int_imwfNtcm" int2:invalidationBookmarkName="" int2:hashCode="QaCAzzJ//ndoNl" int2:id="fzPfCVJg">
      <int2:state int2:value="Rejected" int2:type="style"/>
    </int2:bookmark>
    <int2:bookmark int2:bookmarkName="_Int_Jc05d50E" int2:invalidationBookmarkName="" int2:hashCode="L12mRPafF2RDZS" int2:id="kqgVZEWv">
      <int2:state int2:value="Rejected" int2:type="style"/>
    </int2:bookmark>
    <int2:bookmark int2:bookmarkName="_Int_7H6Yn6g2" int2:invalidationBookmarkName="" int2:hashCode="ZAZRDDHgyZJXM8" int2:id="no4wbDTd">
      <int2:state int2:value="Rejected" int2:type="gram"/>
    </int2:bookmark>
    <int2:bookmark int2:bookmarkName="_Int_0dSelfEY" int2:invalidationBookmarkName="" int2:hashCode="MkYVzIU3TZqe0u" int2:id="rVsguZP6">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3491E"/>
    <w:multiLevelType w:val="hybridMultilevel"/>
    <w:tmpl w:val="A4282CC0"/>
    <w:lvl w:ilvl="0" w:tplc="254E8456">
      <w:start w:val="1"/>
      <w:numFmt w:val="bullet"/>
      <w:lvlText w:val="-"/>
      <w:lvlJc w:val="left"/>
      <w:pPr>
        <w:ind w:left="720" w:hanging="360"/>
      </w:pPr>
      <w:rPr>
        <w:rFonts w:ascii="Aptos" w:hAnsi="Aptos" w:hint="default"/>
      </w:rPr>
    </w:lvl>
    <w:lvl w:ilvl="1" w:tplc="81564976">
      <w:start w:val="1"/>
      <w:numFmt w:val="bullet"/>
      <w:lvlText w:val="o"/>
      <w:lvlJc w:val="left"/>
      <w:pPr>
        <w:ind w:left="1440" w:hanging="360"/>
      </w:pPr>
      <w:rPr>
        <w:rFonts w:ascii="Courier New" w:hAnsi="Courier New" w:hint="default"/>
      </w:rPr>
    </w:lvl>
    <w:lvl w:ilvl="2" w:tplc="87EE4798">
      <w:start w:val="1"/>
      <w:numFmt w:val="bullet"/>
      <w:lvlText w:val=""/>
      <w:lvlJc w:val="left"/>
      <w:pPr>
        <w:ind w:left="2160" w:hanging="360"/>
      </w:pPr>
      <w:rPr>
        <w:rFonts w:ascii="Wingdings" w:hAnsi="Wingdings" w:hint="default"/>
      </w:rPr>
    </w:lvl>
    <w:lvl w:ilvl="3" w:tplc="F662A1D0">
      <w:start w:val="1"/>
      <w:numFmt w:val="bullet"/>
      <w:lvlText w:val=""/>
      <w:lvlJc w:val="left"/>
      <w:pPr>
        <w:ind w:left="2880" w:hanging="360"/>
      </w:pPr>
      <w:rPr>
        <w:rFonts w:ascii="Symbol" w:hAnsi="Symbol" w:hint="default"/>
      </w:rPr>
    </w:lvl>
    <w:lvl w:ilvl="4" w:tplc="2D7A2DCC">
      <w:start w:val="1"/>
      <w:numFmt w:val="bullet"/>
      <w:lvlText w:val="o"/>
      <w:lvlJc w:val="left"/>
      <w:pPr>
        <w:ind w:left="3600" w:hanging="360"/>
      </w:pPr>
      <w:rPr>
        <w:rFonts w:ascii="Courier New" w:hAnsi="Courier New" w:hint="default"/>
      </w:rPr>
    </w:lvl>
    <w:lvl w:ilvl="5" w:tplc="3A74D5A4">
      <w:start w:val="1"/>
      <w:numFmt w:val="bullet"/>
      <w:lvlText w:val=""/>
      <w:lvlJc w:val="left"/>
      <w:pPr>
        <w:ind w:left="4320" w:hanging="360"/>
      </w:pPr>
      <w:rPr>
        <w:rFonts w:ascii="Wingdings" w:hAnsi="Wingdings" w:hint="default"/>
      </w:rPr>
    </w:lvl>
    <w:lvl w:ilvl="6" w:tplc="8666A1CE">
      <w:start w:val="1"/>
      <w:numFmt w:val="bullet"/>
      <w:lvlText w:val=""/>
      <w:lvlJc w:val="left"/>
      <w:pPr>
        <w:ind w:left="5040" w:hanging="360"/>
      </w:pPr>
      <w:rPr>
        <w:rFonts w:ascii="Symbol" w:hAnsi="Symbol" w:hint="default"/>
      </w:rPr>
    </w:lvl>
    <w:lvl w:ilvl="7" w:tplc="CF9E5AB8">
      <w:start w:val="1"/>
      <w:numFmt w:val="bullet"/>
      <w:lvlText w:val="o"/>
      <w:lvlJc w:val="left"/>
      <w:pPr>
        <w:ind w:left="5760" w:hanging="360"/>
      </w:pPr>
      <w:rPr>
        <w:rFonts w:ascii="Courier New" w:hAnsi="Courier New" w:hint="default"/>
      </w:rPr>
    </w:lvl>
    <w:lvl w:ilvl="8" w:tplc="9F04C534">
      <w:start w:val="1"/>
      <w:numFmt w:val="bullet"/>
      <w:lvlText w:val=""/>
      <w:lvlJc w:val="left"/>
      <w:pPr>
        <w:ind w:left="6480" w:hanging="360"/>
      </w:pPr>
      <w:rPr>
        <w:rFonts w:ascii="Wingdings" w:hAnsi="Wingdings" w:hint="default"/>
      </w:rPr>
    </w:lvl>
  </w:abstractNum>
  <w:abstractNum w:abstractNumId="1" w15:restartNumberingAfterBreak="0">
    <w:nsid w:val="7F166244"/>
    <w:multiLevelType w:val="hybridMultilevel"/>
    <w:tmpl w:val="D9C4B794"/>
    <w:lvl w:ilvl="0" w:tplc="35160E2C">
      <w:start w:val="1"/>
      <w:numFmt w:val="bullet"/>
      <w:lvlText w:val="-"/>
      <w:lvlJc w:val="left"/>
      <w:pPr>
        <w:ind w:left="720" w:hanging="360"/>
      </w:pPr>
      <w:rPr>
        <w:rFonts w:ascii="Aptos" w:hAnsi="Aptos" w:hint="default"/>
      </w:rPr>
    </w:lvl>
    <w:lvl w:ilvl="1" w:tplc="EAF43D38">
      <w:start w:val="1"/>
      <w:numFmt w:val="bullet"/>
      <w:lvlText w:val="o"/>
      <w:lvlJc w:val="left"/>
      <w:pPr>
        <w:ind w:left="1440" w:hanging="360"/>
      </w:pPr>
      <w:rPr>
        <w:rFonts w:ascii="Courier New" w:hAnsi="Courier New" w:hint="default"/>
      </w:rPr>
    </w:lvl>
    <w:lvl w:ilvl="2" w:tplc="04188958">
      <w:start w:val="1"/>
      <w:numFmt w:val="bullet"/>
      <w:lvlText w:val=""/>
      <w:lvlJc w:val="left"/>
      <w:pPr>
        <w:ind w:left="2160" w:hanging="360"/>
      </w:pPr>
      <w:rPr>
        <w:rFonts w:ascii="Wingdings" w:hAnsi="Wingdings" w:hint="default"/>
      </w:rPr>
    </w:lvl>
    <w:lvl w:ilvl="3" w:tplc="8472AC42">
      <w:start w:val="1"/>
      <w:numFmt w:val="bullet"/>
      <w:lvlText w:val=""/>
      <w:lvlJc w:val="left"/>
      <w:pPr>
        <w:ind w:left="2880" w:hanging="360"/>
      </w:pPr>
      <w:rPr>
        <w:rFonts w:ascii="Symbol" w:hAnsi="Symbol" w:hint="default"/>
      </w:rPr>
    </w:lvl>
    <w:lvl w:ilvl="4" w:tplc="FF2C0088">
      <w:start w:val="1"/>
      <w:numFmt w:val="bullet"/>
      <w:lvlText w:val="o"/>
      <w:lvlJc w:val="left"/>
      <w:pPr>
        <w:ind w:left="3600" w:hanging="360"/>
      </w:pPr>
      <w:rPr>
        <w:rFonts w:ascii="Courier New" w:hAnsi="Courier New" w:hint="default"/>
      </w:rPr>
    </w:lvl>
    <w:lvl w:ilvl="5" w:tplc="CB0E5756">
      <w:start w:val="1"/>
      <w:numFmt w:val="bullet"/>
      <w:lvlText w:val=""/>
      <w:lvlJc w:val="left"/>
      <w:pPr>
        <w:ind w:left="4320" w:hanging="360"/>
      </w:pPr>
      <w:rPr>
        <w:rFonts w:ascii="Wingdings" w:hAnsi="Wingdings" w:hint="default"/>
      </w:rPr>
    </w:lvl>
    <w:lvl w:ilvl="6" w:tplc="F59031A8">
      <w:start w:val="1"/>
      <w:numFmt w:val="bullet"/>
      <w:lvlText w:val=""/>
      <w:lvlJc w:val="left"/>
      <w:pPr>
        <w:ind w:left="5040" w:hanging="360"/>
      </w:pPr>
      <w:rPr>
        <w:rFonts w:ascii="Symbol" w:hAnsi="Symbol" w:hint="default"/>
      </w:rPr>
    </w:lvl>
    <w:lvl w:ilvl="7" w:tplc="52F4E56A">
      <w:start w:val="1"/>
      <w:numFmt w:val="bullet"/>
      <w:lvlText w:val="o"/>
      <w:lvlJc w:val="left"/>
      <w:pPr>
        <w:ind w:left="5760" w:hanging="360"/>
      </w:pPr>
      <w:rPr>
        <w:rFonts w:ascii="Courier New" w:hAnsi="Courier New" w:hint="default"/>
      </w:rPr>
    </w:lvl>
    <w:lvl w:ilvl="8" w:tplc="B89CB416">
      <w:start w:val="1"/>
      <w:numFmt w:val="bullet"/>
      <w:lvlText w:val=""/>
      <w:lvlJc w:val="left"/>
      <w:pPr>
        <w:ind w:left="6480" w:hanging="360"/>
      </w:pPr>
      <w:rPr>
        <w:rFonts w:ascii="Wingdings" w:hAnsi="Wingdings" w:hint="default"/>
      </w:rPr>
    </w:lvl>
  </w:abstractNum>
  <w:num w:numId="1" w16cid:durableId="1882933297">
    <w:abstractNumId w:val="0"/>
  </w:num>
  <w:num w:numId="2" w16cid:durableId="1356737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EA1"/>
    <w:rsid w:val="00015373"/>
    <w:rsid w:val="00024205"/>
    <w:rsid w:val="001309A3"/>
    <w:rsid w:val="006301C0"/>
    <w:rsid w:val="00667030"/>
    <w:rsid w:val="0070661F"/>
    <w:rsid w:val="00827CC0"/>
    <w:rsid w:val="00863CB8"/>
    <w:rsid w:val="00AB0AD9"/>
    <w:rsid w:val="00B11CFC"/>
    <w:rsid w:val="00BB4942"/>
    <w:rsid w:val="00C647C8"/>
    <w:rsid w:val="00CC2CDB"/>
    <w:rsid w:val="00D44EA1"/>
    <w:rsid w:val="00E36E9B"/>
    <w:rsid w:val="00E90BC2"/>
    <w:rsid w:val="00F86882"/>
    <w:rsid w:val="012BAABA"/>
    <w:rsid w:val="01BAEDDA"/>
    <w:rsid w:val="04C1CC4E"/>
    <w:rsid w:val="05350E33"/>
    <w:rsid w:val="054F28B8"/>
    <w:rsid w:val="05E35102"/>
    <w:rsid w:val="05E8141F"/>
    <w:rsid w:val="068CED28"/>
    <w:rsid w:val="087CEBC7"/>
    <w:rsid w:val="0B3333B9"/>
    <w:rsid w:val="0D935A5C"/>
    <w:rsid w:val="0E6DEFCA"/>
    <w:rsid w:val="0F2A36E3"/>
    <w:rsid w:val="10BFAE55"/>
    <w:rsid w:val="12F38D22"/>
    <w:rsid w:val="13C2A281"/>
    <w:rsid w:val="1453F136"/>
    <w:rsid w:val="14A0721D"/>
    <w:rsid w:val="1508D88F"/>
    <w:rsid w:val="1813CE13"/>
    <w:rsid w:val="1872D2CC"/>
    <w:rsid w:val="18E07390"/>
    <w:rsid w:val="1A1AEF98"/>
    <w:rsid w:val="1C15139A"/>
    <w:rsid w:val="1C1AA5AC"/>
    <w:rsid w:val="21340C3B"/>
    <w:rsid w:val="2148B8B7"/>
    <w:rsid w:val="232DA95C"/>
    <w:rsid w:val="23E8482C"/>
    <w:rsid w:val="24F1AA64"/>
    <w:rsid w:val="271CFD8B"/>
    <w:rsid w:val="28775922"/>
    <w:rsid w:val="2A1EF4B5"/>
    <w:rsid w:val="2CC35F44"/>
    <w:rsid w:val="2FCFBEDE"/>
    <w:rsid w:val="2FFB4254"/>
    <w:rsid w:val="32B6B4C4"/>
    <w:rsid w:val="32E08F48"/>
    <w:rsid w:val="3372F760"/>
    <w:rsid w:val="364135DE"/>
    <w:rsid w:val="36464478"/>
    <w:rsid w:val="371AD3AB"/>
    <w:rsid w:val="39646046"/>
    <w:rsid w:val="3A5DBE17"/>
    <w:rsid w:val="3B71F91E"/>
    <w:rsid w:val="3C2B369D"/>
    <w:rsid w:val="3CF4E6DE"/>
    <w:rsid w:val="40B6ED94"/>
    <w:rsid w:val="419E935F"/>
    <w:rsid w:val="41BDC772"/>
    <w:rsid w:val="442D764E"/>
    <w:rsid w:val="4CAC569C"/>
    <w:rsid w:val="4DD04C38"/>
    <w:rsid w:val="50AA2634"/>
    <w:rsid w:val="5101F940"/>
    <w:rsid w:val="5364466E"/>
    <w:rsid w:val="5469093C"/>
    <w:rsid w:val="55DE6639"/>
    <w:rsid w:val="56A90801"/>
    <w:rsid w:val="56BECB9A"/>
    <w:rsid w:val="573C00B5"/>
    <w:rsid w:val="57A7EC6D"/>
    <w:rsid w:val="57DCD16E"/>
    <w:rsid w:val="592786B1"/>
    <w:rsid w:val="5A3CC2D8"/>
    <w:rsid w:val="5B399444"/>
    <w:rsid w:val="5C71BE35"/>
    <w:rsid w:val="6052DF90"/>
    <w:rsid w:val="61CBEAFB"/>
    <w:rsid w:val="6345644F"/>
    <w:rsid w:val="63A7F565"/>
    <w:rsid w:val="64695240"/>
    <w:rsid w:val="66BBADEA"/>
    <w:rsid w:val="67EF90A5"/>
    <w:rsid w:val="685573D3"/>
    <w:rsid w:val="68812895"/>
    <w:rsid w:val="6B3072EB"/>
    <w:rsid w:val="6BDCC16A"/>
    <w:rsid w:val="6E30B160"/>
    <w:rsid w:val="6E4A34CD"/>
    <w:rsid w:val="6F0AB8B0"/>
    <w:rsid w:val="6FD28FBF"/>
    <w:rsid w:val="70130393"/>
    <w:rsid w:val="70954604"/>
    <w:rsid w:val="7316666D"/>
    <w:rsid w:val="73D68C13"/>
    <w:rsid w:val="74180BC1"/>
    <w:rsid w:val="750628A4"/>
    <w:rsid w:val="75CE7C4C"/>
    <w:rsid w:val="774D6D4F"/>
    <w:rsid w:val="777F2CB8"/>
    <w:rsid w:val="78C3A06E"/>
    <w:rsid w:val="7A57CCDC"/>
    <w:rsid w:val="7ABDFA18"/>
    <w:rsid w:val="7B5EFA81"/>
    <w:rsid w:val="7C42C9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5EBE"/>
  <w15:chartTrackingRefBased/>
  <w15:docId w15:val="{759443A2-0468-BC4F-9D66-ABE5A3AE3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EA1"/>
  </w:style>
  <w:style w:type="paragraph" w:styleId="Heading1">
    <w:name w:val="heading 1"/>
    <w:basedOn w:val="Normal"/>
    <w:next w:val="Normal"/>
    <w:link w:val="Heading1Char"/>
    <w:uiPriority w:val="9"/>
    <w:qFormat/>
    <w:rsid w:val="00D44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EA1"/>
    <w:rPr>
      <w:rFonts w:eastAsiaTheme="majorEastAsia" w:cstheme="majorBidi"/>
      <w:color w:val="272727" w:themeColor="text1" w:themeTint="D8"/>
    </w:rPr>
  </w:style>
  <w:style w:type="paragraph" w:styleId="Title">
    <w:name w:val="Title"/>
    <w:basedOn w:val="Normal"/>
    <w:next w:val="Normal"/>
    <w:link w:val="TitleChar"/>
    <w:uiPriority w:val="10"/>
    <w:qFormat/>
    <w:rsid w:val="00D44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EA1"/>
    <w:pPr>
      <w:spacing w:before="160"/>
      <w:jc w:val="center"/>
    </w:pPr>
    <w:rPr>
      <w:i/>
      <w:iCs/>
      <w:color w:val="404040" w:themeColor="text1" w:themeTint="BF"/>
    </w:rPr>
  </w:style>
  <w:style w:type="character" w:customStyle="1" w:styleId="QuoteChar">
    <w:name w:val="Quote Char"/>
    <w:basedOn w:val="DefaultParagraphFont"/>
    <w:link w:val="Quote"/>
    <w:uiPriority w:val="29"/>
    <w:rsid w:val="00D44EA1"/>
    <w:rPr>
      <w:i/>
      <w:iCs/>
      <w:color w:val="404040" w:themeColor="text1" w:themeTint="BF"/>
    </w:rPr>
  </w:style>
  <w:style w:type="paragraph" w:styleId="ListParagraph">
    <w:name w:val="List Paragraph"/>
    <w:basedOn w:val="Normal"/>
    <w:uiPriority w:val="34"/>
    <w:qFormat/>
    <w:rsid w:val="00D44EA1"/>
    <w:pPr>
      <w:ind w:left="720"/>
      <w:contextualSpacing/>
    </w:pPr>
  </w:style>
  <w:style w:type="character" w:styleId="IntenseEmphasis">
    <w:name w:val="Intense Emphasis"/>
    <w:basedOn w:val="DefaultParagraphFont"/>
    <w:uiPriority w:val="21"/>
    <w:qFormat/>
    <w:rsid w:val="00D44EA1"/>
    <w:rPr>
      <w:i/>
      <w:iCs/>
      <w:color w:val="0F4761" w:themeColor="accent1" w:themeShade="BF"/>
    </w:rPr>
  </w:style>
  <w:style w:type="paragraph" w:styleId="IntenseQuote">
    <w:name w:val="Intense Quote"/>
    <w:basedOn w:val="Normal"/>
    <w:next w:val="Normal"/>
    <w:link w:val="IntenseQuoteChar"/>
    <w:uiPriority w:val="30"/>
    <w:qFormat/>
    <w:rsid w:val="00D44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EA1"/>
    <w:rPr>
      <w:i/>
      <w:iCs/>
      <w:color w:val="0F4761" w:themeColor="accent1" w:themeShade="BF"/>
    </w:rPr>
  </w:style>
  <w:style w:type="character" w:styleId="IntenseReference">
    <w:name w:val="Intense Reference"/>
    <w:basedOn w:val="DefaultParagraphFont"/>
    <w:uiPriority w:val="32"/>
    <w:qFormat/>
    <w:rsid w:val="00D44EA1"/>
    <w:rPr>
      <w:b/>
      <w:bCs/>
      <w:smallCaps/>
      <w:color w:val="0F4761" w:themeColor="accent1" w:themeShade="BF"/>
      <w:spacing w:val="5"/>
    </w:rPr>
  </w:style>
  <w:style w:type="paragraph" w:styleId="NormalWeb">
    <w:name w:val="Normal (Web)"/>
    <w:basedOn w:val="Normal"/>
    <w:uiPriority w:val="99"/>
    <w:unhideWhenUsed/>
    <w:rsid w:val="00D44E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301C0"/>
    <w:rPr>
      <w:color w:val="467886" w:themeColor="hyperlink"/>
      <w:u w:val="single"/>
    </w:rPr>
  </w:style>
  <w:style w:type="character" w:styleId="UnresolvedMention">
    <w:name w:val="Unresolved Mention"/>
    <w:basedOn w:val="DefaultParagraphFont"/>
    <w:uiPriority w:val="99"/>
    <w:semiHidden/>
    <w:unhideWhenUsed/>
    <w:rsid w:val="006301C0"/>
    <w:rPr>
      <w:color w:val="605E5C"/>
      <w:shd w:val="clear" w:color="auto" w:fill="E1DFDD"/>
    </w:rPr>
  </w:style>
  <w:style w:type="character" w:styleId="FollowedHyperlink">
    <w:name w:val="FollowedHyperlink"/>
    <w:basedOn w:val="DefaultParagraphFont"/>
    <w:uiPriority w:val="99"/>
    <w:semiHidden/>
    <w:unhideWhenUsed/>
    <w:rsid w:val="006301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1353</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Jao, Emily</dc:creator>
  <cp:keywords/>
  <dc:description/>
  <cp:lastModifiedBy>Sudagauni, Sai Anurag</cp:lastModifiedBy>
  <cp:revision>2</cp:revision>
  <dcterms:created xsi:type="dcterms:W3CDTF">2026-04-21T02:59:00Z</dcterms:created>
  <dcterms:modified xsi:type="dcterms:W3CDTF">2026-04-21T02:59:00Z</dcterms:modified>
</cp:coreProperties>
</file>