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25916" w:rsidP="003077F5" w:rsidRDefault="00A25916" w14:paraId="720C8502" w14:textId="77777777">
      <w:pPr>
        <w:pStyle w:val="NormalWeb"/>
        <w:spacing w:before="180" w:beforeAutospacing="0" w:after="180" w:afterAutospacing="0"/>
        <w:jc w:val="center"/>
        <w:rPr>
          <w:b/>
          <w:bCs/>
          <w:color w:val="000000" w:themeColor="text1"/>
        </w:rPr>
      </w:pPr>
    </w:p>
    <w:p w:rsidR="00A25916" w:rsidP="003077F5" w:rsidRDefault="00A25916" w14:paraId="6D7AC365" w14:textId="77777777">
      <w:pPr>
        <w:pStyle w:val="NormalWeb"/>
        <w:spacing w:before="180" w:beforeAutospacing="0" w:after="180" w:afterAutospacing="0"/>
        <w:jc w:val="center"/>
        <w:rPr>
          <w:b/>
          <w:bCs/>
          <w:color w:val="000000" w:themeColor="text1"/>
        </w:rPr>
      </w:pPr>
    </w:p>
    <w:p w:rsidR="00A25916" w:rsidP="003077F5" w:rsidRDefault="00A25916" w14:paraId="33E20DFB" w14:textId="77777777">
      <w:pPr>
        <w:pStyle w:val="NormalWeb"/>
        <w:spacing w:before="180" w:beforeAutospacing="0" w:after="180" w:afterAutospacing="0"/>
        <w:jc w:val="center"/>
        <w:rPr>
          <w:b/>
          <w:bCs/>
          <w:color w:val="000000" w:themeColor="text1"/>
        </w:rPr>
      </w:pPr>
    </w:p>
    <w:p w:rsidR="00A25916" w:rsidP="003077F5" w:rsidRDefault="00A25916" w14:paraId="49707266" w14:textId="77777777">
      <w:pPr>
        <w:pStyle w:val="NormalWeb"/>
        <w:spacing w:before="180" w:beforeAutospacing="0" w:after="180" w:afterAutospacing="0"/>
        <w:jc w:val="center"/>
        <w:rPr>
          <w:b/>
          <w:bCs/>
          <w:color w:val="000000" w:themeColor="text1"/>
        </w:rPr>
      </w:pPr>
    </w:p>
    <w:p w:rsidR="00A25916" w:rsidP="003077F5" w:rsidRDefault="00A25916" w14:paraId="5ECCE002" w14:textId="77777777">
      <w:pPr>
        <w:pStyle w:val="NormalWeb"/>
        <w:spacing w:before="180" w:beforeAutospacing="0" w:after="180" w:afterAutospacing="0"/>
        <w:jc w:val="center"/>
        <w:rPr>
          <w:b/>
          <w:bCs/>
          <w:color w:val="000000" w:themeColor="text1"/>
        </w:rPr>
      </w:pPr>
    </w:p>
    <w:p w:rsidR="00A25916" w:rsidP="003077F5" w:rsidRDefault="00A25916" w14:paraId="3638D2C6" w14:textId="77777777">
      <w:pPr>
        <w:pStyle w:val="NormalWeb"/>
        <w:spacing w:before="180" w:beforeAutospacing="0" w:after="180" w:afterAutospacing="0"/>
        <w:jc w:val="center"/>
        <w:rPr>
          <w:b/>
          <w:bCs/>
          <w:color w:val="000000" w:themeColor="text1"/>
        </w:rPr>
      </w:pPr>
    </w:p>
    <w:p w:rsidR="00A25916" w:rsidP="003077F5" w:rsidRDefault="00A25916" w14:paraId="7DAE027A" w14:textId="77777777">
      <w:pPr>
        <w:pStyle w:val="NormalWeb"/>
        <w:spacing w:before="180" w:beforeAutospacing="0" w:after="180" w:afterAutospacing="0"/>
        <w:jc w:val="center"/>
        <w:rPr>
          <w:b/>
          <w:bCs/>
          <w:color w:val="000000" w:themeColor="text1"/>
        </w:rPr>
      </w:pPr>
    </w:p>
    <w:p w:rsidR="00A25916" w:rsidP="003077F5" w:rsidRDefault="00A25916" w14:paraId="3AA6FEB0" w14:textId="77777777">
      <w:pPr>
        <w:pStyle w:val="NormalWeb"/>
        <w:spacing w:before="180" w:beforeAutospacing="0" w:after="180" w:afterAutospacing="0"/>
        <w:jc w:val="center"/>
        <w:rPr>
          <w:b/>
          <w:bCs/>
          <w:color w:val="000000" w:themeColor="text1"/>
        </w:rPr>
      </w:pPr>
    </w:p>
    <w:p w:rsidR="00A25916" w:rsidP="003077F5" w:rsidRDefault="00A25916" w14:paraId="254712AA" w14:textId="77777777">
      <w:pPr>
        <w:pStyle w:val="NormalWeb"/>
        <w:spacing w:before="180" w:beforeAutospacing="0" w:after="180" w:afterAutospacing="0"/>
        <w:jc w:val="center"/>
        <w:rPr>
          <w:b/>
          <w:bCs/>
          <w:color w:val="000000" w:themeColor="text1"/>
        </w:rPr>
      </w:pPr>
    </w:p>
    <w:p w:rsidR="00A25916" w:rsidP="003077F5" w:rsidRDefault="00A25916" w14:paraId="4E6E6252" w14:textId="77777777">
      <w:pPr>
        <w:pStyle w:val="NormalWeb"/>
        <w:spacing w:before="180" w:beforeAutospacing="0" w:after="180" w:afterAutospacing="0"/>
        <w:jc w:val="center"/>
        <w:rPr>
          <w:b/>
          <w:bCs/>
          <w:color w:val="000000" w:themeColor="text1"/>
        </w:rPr>
      </w:pPr>
    </w:p>
    <w:p w:rsidRPr="007A1F94" w:rsidR="003077F5" w:rsidP="17DED7D1" w:rsidRDefault="003077F5" w14:paraId="0D5E8EB0" w14:textId="109DC411">
      <w:pPr>
        <w:pStyle w:val="NormalWeb"/>
        <w:spacing w:before="180" w:beforeAutospacing="off" w:after="180" w:afterAutospacing="off"/>
        <w:jc w:val="center"/>
        <w:rPr>
          <w:b w:val="1"/>
          <w:bCs w:val="1"/>
          <w:color w:val="000000" w:themeColor="text1"/>
        </w:rPr>
      </w:pPr>
      <w:r w:rsidRPr="17DED7D1" w:rsidR="3EEC4C5F">
        <w:rPr>
          <w:b w:val="1"/>
          <w:bCs w:val="1"/>
          <w:color w:val="000000" w:themeColor="text1" w:themeTint="FF" w:themeShade="FF"/>
        </w:rPr>
        <w:t>Group Case Briefing</w:t>
      </w:r>
      <w:r w:rsidRPr="17DED7D1" w:rsidR="26858FE1">
        <w:rPr>
          <w:b w:val="1"/>
          <w:bCs w:val="1"/>
          <w:color w:val="000000" w:themeColor="text1" w:themeTint="FF" w:themeShade="FF"/>
        </w:rPr>
        <w:t xml:space="preserve"> 3</w:t>
      </w:r>
      <w:r w:rsidRPr="17DED7D1" w:rsidR="3EEC4C5F">
        <w:rPr>
          <w:b w:val="1"/>
          <w:bCs w:val="1"/>
          <w:color w:val="000000" w:themeColor="text1" w:themeTint="FF" w:themeShade="FF"/>
        </w:rPr>
        <w:t xml:space="preserve"> – Group 9</w:t>
      </w:r>
    </w:p>
    <w:p w:rsidR="003077F5" w:rsidP="003077F5" w:rsidRDefault="003077F5" w14:paraId="7F949AF3" w14:textId="77777777">
      <w:pPr>
        <w:pStyle w:val="NormalWeb"/>
        <w:spacing w:before="180" w:beforeAutospacing="0" w:after="180" w:afterAutospacing="0"/>
        <w:jc w:val="center"/>
        <w:rPr>
          <w:b/>
          <w:bCs/>
          <w:color w:val="000000" w:themeColor="text1"/>
        </w:rPr>
      </w:pPr>
    </w:p>
    <w:p w:rsidRPr="006C14AA" w:rsidR="003077F5" w:rsidP="003077F5" w:rsidRDefault="003077F5" w14:paraId="03095225" w14:textId="77777777">
      <w:pPr>
        <w:pStyle w:val="NormalWeb"/>
        <w:spacing w:before="180" w:beforeAutospacing="0" w:after="180" w:afterAutospacing="0"/>
        <w:jc w:val="center"/>
        <w:rPr>
          <w:color w:val="000000" w:themeColor="text1"/>
        </w:rPr>
      </w:pPr>
      <w:r>
        <w:rPr>
          <w:color w:val="000000" w:themeColor="text1"/>
        </w:rPr>
        <w:t>Emily Jao, Haidah Saad, Minh Nguyen, Sai Anurag Sudagauni, Simone Orange</w:t>
      </w:r>
    </w:p>
    <w:p w:rsidR="003077F5" w:rsidP="003077F5" w:rsidRDefault="003077F5" w14:paraId="17A0FE48" w14:textId="77777777">
      <w:pPr>
        <w:pStyle w:val="NormalWeb"/>
        <w:spacing w:before="180" w:beforeAutospacing="0" w:after="180" w:afterAutospacing="0"/>
        <w:jc w:val="center"/>
        <w:rPr>
          <w:color w:val="000000" w:themeColor="text1"/>
        </w:rPr>
      </w:pPr>
      <w:r>
        <w:rPr>
          <w:color w:val="000000" w:themeColor="text1"/>
        </w:rPr>
        <w:t>The Pennsylvania State University</w:t>
      </w:r>
    </w:p>
    <w:p w:rsidR="003077F5" w:rsidP="003077F5" w:rsidRDefault="003077F5" w14:paraId="1647C36A" w14:textId="77777777">
      <w:pPr>
        <w:pStyle w:val="NormalWeb"/>
        <w:spacing w:before="180" w:beforeAutospacing="0" w:after="180" w:afterAutospacing="0"/>
        <w:jc w:val="center"/>
        <w:rPr>
          <w:color w:val="000000" w:themeColor="text1"/>
        </w:rPr>
      </w:pPr>
      <w:r>
        <w:rPr>
          <w:color w:val="000000" w:themeColor="text1"/>
        </w:rPr>
        <w:t>IST 432: Legal and Regulatory Environment of Information Science and Technology</w:t>
      </w:r>
    </w:p>
    <w:p w:rsidR="003077F5" w:rsidP="003077F5" w:rsidRDefault="003077F5" w14:paraId="5A2066EA" w14:textId="77777777">
      <w:pPr>
        <w:pStyle w:val="NormalWeb"/>
        <w:spacing w:before="180" w:beforeAutospacing="0" w:after="180" w:afterAutospacing="0"/>
        <w:jc w:val="center"/>
        <w:rPr>
          <w:color w:val="000000" w:themeColor="text1"/>
        </w:rPr>
      </w:pPr>
      <w:r>
        <w:rPr>
          <w:color w:val="000000" w:themeColor="text1"/>
        </w:rPr>
        <w:t xml:space="preserve">Prof. Marc Friedenberg </w:t>
      </w:r>
    </w:p>
    <w:p w:rsidR="003077F5" w:rsidP="003077F5" w:rsidRDefault="003077F5" w14:paraId="2818FBB2" w14:textId="485C924B">
      <w:pPr>
        <w:pStyle w:val="NormalWeb"/>
        <w:spacing w:before="180" w:beforeAutospacing="0" w:after="180" w:afterAutospacing="0"/>
        <w:jc w:val="center"/>
        <w:rPr>
          <w:color w:val="000000" w:themeColor="text1"/>
        </w:rPr>
      </w:pPr>
      <w:r w:rsidRPr="3AFE4C2C">
        <w:rPr>
          <w:color w:val="000000" w:themeColor="text1"/>
        </w:rPr>
        <w:t xml:space="preserve">March </w:t>
      </w:r>
      <w:r w:rsidR="00190856">
        <w:rPr>
          <w:color w:val="000000" w:themeColor="text1"/>
        </w:rPr>
        <w:t>23</w:t>
      </w:r>
      <w:r w:rsidRPr="3AFE4C2C">
        <w:rPr>
          <w:color w:val="000000" w:themeColor="text1"/>
        </w:rPr>
        <w:t>, 2026</w:t>
      </w:r>
    </w:p>
    <w:p w:rsidR="00B1254A" w:rsidRDefault="00B1254A" w14:paraId="485F0223" w14:textId="77777777"/>
    <w:p w:rsidR="00FD726B" w:rsidRDefault="00FD726B" w14:paraId="540AE0E4" w14:textId="77777777">
      <w:pPr>
        <w:rPr>
          <w:rFonts w:ascii="Times New Roman" w:hAnsi="Times New Roman" w:eastAsia="Times New Roman" w:cs="Times New Roman"/>
          <w:color w:val="003D5B"/>
          <w:kern w:val="0"/>
          <w14:ligatures w14:val="none"/>
        </w:rPr>
      </w:pPr>
    </w:p>
    <w:p w:rsidR="00190856" w:rsidRDefault="00190856" w14:paraId="2BA501BC" w14:textId="77777777">
      <w:pPr>
        <w:rPr>
          <w:rFonts w:ascii="Times New Roman" w:hAnsi="Times New Roman" w:eastAsia="Times New Roman" w:cs="Times New Roman"/>
          <w:color w:val="003D5B"/>
          <w:kern w:val="0"/>
          <w14:ligatures w14:val="none"/>
        </w:rPr>
      </w:pPr>
    </w:p>
    <w:p w:rsidR="00190856" w:rsidRDefault="00190856" w14:paraId="64EBAA1A" w14:textId="77777777">
      <w:pPr>
        <w:rPr>
          <w:rFonts w:ascii="Times New Roman" w:hAnsi="Times New Roman" w:eastAsia="Times New Roman" w:cs="Times New Roman"/>
          <w:color w:val="003D5B"/>
          <w:kern w:val="0"/>
          <w14:ligatures w14:val="none"/>
        </w:rPr>
      </w:pPr>
    </w:p>
    <w:p w:rsidR="00190856" w:rsidRDefault="00190856" w14:paraId="7D7BCEE5" w14:textId="77777777">
      <w:pPr>
        <w:rPr>
          <w:rFonts w:ascii="Times New Roman" w:hAnsi="Times New Roman" w:eastAsia="Times New Roman" w:cs="Times New Roman"/>
          <w:color w:val="003D5B"/>
          <w:kern w:val="0"/>
          <w14:ligatures w14:val="none"/>
        </w:rPr>
      </w:pPr>
    </w:p>
    <w:p w:rsidR="00190856" w:rsidRDefault="00190856" w14:paraId="1D7843A7" w14:textId="77777777">
      <w:pPr>
        <w:rPr>
          <w:rFonts w:ascii="Times New Roman" w:hAnsi="Times New Roman" w:eastAsia="Times New Roman" w:cs="Times New Roman"/>
          <w:color w:val="003D5B"/>
          <w:kern w:val="0"/>
          <w14:ligatures w14:val="none"/>
        </w:rPr>
      </w:pPr>
    </w:p>
    <w:p w:rsidR="00190856" w:rsidRDefault="00190856" w14:paraId="7CB399AF" w14:textId="77777777">
      <w:pPr>
        <w:rPr>
          <w:rFonts w:ascii="Times New Roman" w:hAnsi="Times New Roman" w:eastAsia="Times New Roman" w:cs="Times New Roman"/>
          <w:color w:val="003D5B"/>
          <w:kern w:val="0"/>
          <w14:ligatures w14:val="none"/>
        </w:rPr>
      </w:pPr>
    </w:p>
    <w:p w:rsidR="00190856" w:rsidRDefault="00190856" w14:paraId="74D54312" w14:textId="77777777">
      <w:pPr>
        <w:rPr>
          <w:rFonts w:ascii="Times New Roman" w:hAnsi="Times New Roman" w:eastAsia="Times New Roman" w:cs="Times New Roman"/>
          <w:color w:val="003D5B"/>
          <w:kern w:val="0"/>
          <w14:ligatures w14:val="none"/>
        </w:rPr>
      </w:pPr>
    </w:p>
    <w:p w:rsidR="00190856" w:rsidRDefault="00190856" w14:paraId="6F0C3186" w14:textId="77777777">
      <w:pPr>
        <w:rPr>
          <w:rFonts w:ascii="Times New Roman" w:hAnsi="Times New Roman" w:eastAsia="Times New Roman" w:cs="Times New Roman"/>
          <w:color w:val="003D5B"/>
          <w:kern w:val="0"/>
          <w14:ligatures w14:val="none"/>
        </w:rPr>
      </w:pPr>
    </w:p>
    <w:p w:rsidR="00190856" w:rsidRDefault="00190856" w14:paraId="682C9EA3" w14:textId="77777777"/>
    <w:p w:rsidR="0FC1C24B" w:rsidP="0FC1C24B" w:rsidRDefault="0FC1C24B" w14:paraId="6EA59FCB" w14:textId="4A5915A7"/>
    <w:p w:rsidRPr="00C36371" w:rsidR="00C36371" w:rsidP="00C36371" w:rsidRDefault="00C36371" w14:paraId="10EA6797" w14:textId="77777777">
      <w:pPr>
        <w:autoSpaceDE w:val="0"/>
        <w:autoSpaceDN w:val="0"/>
        <w:adjustRightInd w:val="0"/>
        <w:spacing w:after="0" w:line="240" w:lineRule="auto"/>
        <w:rPr>
          <w:rFonts w:ascii="Times New Roman" w:hAnsi="Times New Roman" w:cs="Times New Roman"/>
          <w:kern w:val="0"/>
        </w:rPr>
      </w:pPr>
      <w:r w:rsidRPr="00C36371">
        <w:rPr>
          <w:rFonts w:ascii="Times New Roman" w:hAnsi="Times New Roman" w:cs="Times New Roman"/>
          <w:b/>
          <w:bCs/>
          <w:kern w:val="0"/>
        </w:rPr>
        <w:t>Title/Citation:</w:t>
      </w:r>
      <w:r w:rsidRPr="00C36371">
        <w:rPr>
          <w:rFonts w:ascii="Times New Roman" w:hAnsi="Times New Roman" w:cs="Times New Roman"/>
          <w:kern w:val="0"/>
        </w:rPr>
        <w:t xml:space="preserve"> </w:t>
      </w:r>
      <w:r w:rsidRPr="00C36371">
        <w:rPr>
          <w:rFonts w:ascii="Times New Roman" w:hAnsi="Times New Roman" w:cs="Times New Roman"/>
          <w:i/>
          <w:iCs/>
          <w:kern w:val="0"/>
        </w:rPr>
        <w:t>Campbell v. Facebook, Inc.</w:t>
      </w:r>
      <w:r w:rsidRPr="00C36371">
        <w:rPr>
          <w:rFonts w:ascii="Times New Roman" w:hAnsi="Times New Roman" w:cs="Times New Roman"/>
          <w:kern w:val="0"/>
        </w:rPr>
        <w:t>, 77 F. Supp. 3d 836 (N.D. Cal. 2014)</w:t>
      </w:r>
    </w:p>
    <w:p w:rsidRPr="00C36371" w:rsidR="00C36371" w:rsidP="00C36371" w:rsidRDefault="00C36371" w14:paraId="0B94D118" w14:textId="77777777">
      <w:pPr>
        <w:autoSpaceDE w:val="0"/>
        <w:autoSpaceDN w:val="0"/>
        <w:adjustRightInd w:val="0"/>
        <w:spacing w:after="0" w:line="240" w:lineRule="auto"/>
        <w:rPr>
          <w:rFonts w:ascii="Times New Roman" w:hAnsi="Times New Roman" w:cs="Times New Roman"/>
          <w:kern w:val="0"/>
        </w:rPr>
      </w:pPr>
    </w:p>
    <w:p w:rsidRPr="00C36371" w:rsidR="00C36371" w:rsidP="00C36371" w:rsidRDefault="00C36371" w14:paraId="672632E6" w14:textId="432144D6">
      <w:pPr>
        <w:autoSpaceDE w:val="0"/>
        <w:autoSpaceDN w:val="0"/>
        <w:adjustRightInd w:val="0"/>
        <w:spacing w:after="0" w:line="240" w:lineRule="auto"/>
        <w:rPr>
          <w:rFonts w:ascii="Times New Roman" w:hAnsi="Times New Roman" w:cs="Times New Roman"/>
          <w:kern w:val="0"/>
        </w:rPr>
      </w:pPr>
      <w:r w:rsidRPr="00C36371">
        <w:rPr>
          <w:rFonts w:ascii="Times New Roman" w:hAnsi="Times New Roman" w:cs="Times New Roman"/>
          <w:b/>
          <w:bCs/>
          <w:kern w:val="0"/>
        </w:rPr>
        <w:t>Procedural History:</w:t>
      </w:r>
      <w:r>
        <w:rPr>
          <w:rFonts w:ascii="Times New Roman" w:hAnsi="Times New Roman" w:eastAsia="MS Gothic" w:cs="Times New Roman"/>
          <w:kern w:val="0"/>
        </w:rPr>
        <w:t xml:space="preserve"> </w:t>
      </w:r>
      <w:r w:rsidRPr="00C36371">
        <w:rPr>
          <w:rFonts w:ascii="Times New Roman" w:hAnsi="Times New Roman" w:cs="Times New Roman"/>
          <w:kern w:val="0"/>
        </w:rPr>
        <w:t>Plaintiffs Matthew Campbell, Michael Hurley, and David Shadpour filed a consolidated class action lawsuit against Facebook, Inc. in the United States District Court for the Northern District of California. They claimed that Facebook's actions violated federal and state privacy laws, such as the Electronic Communications Privacy Act (ECPA), the California Invasion of Privacy Act (CIPA), and California's Unfair Competition Law (Section 17200). Facebook filed a motion to dismiss the complaint. After a hearing on October 1, 2014, the district court, led by Judge Phyllis J. Hamilton, issued an order on December 23, 2014. This granted the motion in part and denied it in part, enabling some claims to move on while dismissing others.</w:t>
      </w:r>
    </w:p>
    <w:p w:rsidRPr="00C36371" w:rsidR="00C36371" w:rsidP="00C36371" w:rsidRDefault="00C36371" w14:paraId="3F7B8FB3" w14:textId="77777777">
      <w:pPr>
        <w:autoSpaceDE w:val="0"/>
        <w:autoSpaceDN w:val="0"/>
        <w:adjustRightInd w:val="0"/>
        <w:spacing w:after="0" w:line="240" w:lineRule="auto"/>
        <w:rPr>
          <w:rFonts w:ascii="Times New Roman" w:hAnsi="Times New Roman" w:cs="Times New Roman"/>
          <w:kern w:val="0"/>
        </w:rPr>
      </w:pPr>
    </w:p>
    <w:p w:rsidRPr="00C36371" w:rsidR="00C36371" w:rsidP="00C36371" w:rsidRDefault="00C36371" w14:paraId="0244A052" w14:textId="5217981C">
      <w:pPr>
        <w:autoSpaceDE w:val="0"/>
        <w:autoSpaceDN w:val="0"/>
        <w:adjustRightInd w:val="0"/>
        <w:spacing w:after="0" w:line="240" w:lineRule="auto"/>
        <w:rPr>
          <w:rFonts w:ascii="Times New Roman" w:hAnsi="Times New Roman" w:cs="Times New Roman"/>
          <w:kern w:val="0"/>
        </w:rPr>
      </w:pPr>
      <w:r w:rsidRPr="00C36371">
        <w:rPr>
          <w:rFonts w:ascii="Times New Roman" w:hAnsi="Times New Roman" w:cs="Times New Roman"/>
          <w:b/>
          <w:bCs/>
          <w:kern w:val="0"/>
        </w:rPr>
        <w:t>Facts/Synopsis:</w:t>
      </w:r>
      <w:r w:rsidR="00B15685">
        <w:rPr>
          <w:rFonts w:ascii="Times New Roman" w:hAnsi="Times New Roman" w:eastAsia="MS Gothic" w:cs="Times New Roman"/>
          <w:kern w:val="0"/>
        </w:rPr>
        <w:t xml:space="preserve"> </w:t>
      </w:r>
      <w:r w:rsidRPr="00C36371">
        <w:rPr>
          <w:rFonts w:ascii="Times New Roman" w:hAnsi="Times New Roman" w:cs="Times New Roman"/>
          <w:kern w:val="0"/>
        </w:rPr>
        <w:t>Facebook operates one of the largest social networking platforms in the world, allowing users to share content publicly, with friends, or privately through direct messages. Private messages function similarly to email, enabling users to communicate one-on-one or in small groups with an expectation of privacy.</w:t>
      </w:r>
    </w:p>
    <w:p w:rsidRPr="00C36371" w:rsidR="00C36371" w:rsidP="00C36371" w:rsidRDefault="00C36371" w14:paraId="1DC7188C" w14:textId="77777777">
      <w:pPr>
        <w:autoSpaceDE w:val="0"/>
        <w:autoSpaceDN w:val="0"/>
        <w:adjustRightInd w:val="0"/>
        <w:spacing w:after="0" w:line="240" w:lineRule="auto"/>
        <w:rPr>
          <w:rFonts w:ascii="Times New Roman" w:hAnsi="Times New Roman" w:cs="Times New Roman"/>
          <w:kern w:val="0"/>
        </w:rPr>
      </w:pPr>
    </w:p>
    <w:p w:rsidRPr="00C36371" w:rsidR="00C36371" w:rsidP="4638DF61" w:rsidRDefault="00C36371" w14:paraId="5AD3723E" w14:textId="79D9507C">
      <w:pPr>
        <w:autoSpaceDE w:val="0"/>
        <w:autoSpaceDN w:val="0"/>
        <w:adjustRightInd w:val="0"/>
        <w:spacing w:after="0" w:line="240" w:lineRule="auto"/>
        <w:rPr>
          <w:rFonts w:ascii="Times New Roman" w:hAnsi="Times New Roman" w:cs="Times New Roman"/>
        </w:rPr>
      </w:pPr>
      <w:r w:rsidRPr="00C36371">
        <w:rPr>
          <w:rFonts w:ascii="Times New Roman" w:hAnsi="Times New Roman" w:cs="Times New Roman"/>
          <w:kern w:val="0"/>
        </w:rPr>
        <w:t>The plaintiffs alleged that Facebook systematically scanned the content of users’ private messages. When a message contained a URL, Facebook would treat that link as a “like” of the webpage and use it to increase the webpage’s through its “social plugin” system. This system shows how many people have liked or shared a webpage, effectively determining its popularity.</w:t>
      </w:r>
    </w:p>
    <w:p w:rsidR="4638DF61" w:rsidP="4638DF61" w:rsidRDefault="4638DF61" w14:paraId="43ADF4D7" w14:textId="2BF369B2">
      <w:pPr>
        <w:spacing w:after="0" w:line="240" w:lineRule="auto"/>
        <w:rPr>
          <w:rFonts w:ascii="Times New Roman" w:hAnsi="Times New Roman" w:cs="Times New Roman"/>
        </w:rPr>
      </w:pPr>
    </w:p>
    <w:p w:rsidRPr="00C36371" w:rsidR="00C36371" w:rsidP="00C36371" w:rsidRDefault="00C36371" w14:paraId="54086B45" w14:textId="77777777">
      <w:pPr>
        <w:autoSpaceDE w:val="0"/>
        <w:autoSpaceDN w:val="0"/>
        <w:adjustRightInd w:val="0"/>
        <w:spacing w:after="0" w:line="240" w:lineRule="auto"/>
        <w:rPr>
          <w:rFonts w:ascii="Times New Roman" w:hAnsi="Times New Roman" w:cs="Times New Roman"/>
          <w:kern w:val="0"/>
        </w:rPr>
      </w:pPr>
      <w:r w:rsidRPr="00C36371">
        <w:rPr>
          <w:rFonts w:ascii="Times New Roman" w:hAnsi="Times New Roman" w:cs="Times New Roman"/>
          <w:kern w:val="0"/>
        </w:rPr>
        <w:t>Additionally, plaintiffs claimed that Facebook used data gathered from these scanned messages to develop detailed user profiles, which were then used to provide targeted advertising. They argued that this conduct took place without the users' knowledge or consent, and that it violated federal and state privacy laws intended to protect electronic communications.</w:t>
      </w:r>
    </w:p>
    <w:p w:rsidRPr="00C36371" w:rsidR="00FD726B" w:rsidP="00C36371" w:rsidRDefault="00C36371" w14:paraId="59A00921" w14:textId="62081DFD">
      <w:pPr>
        <w:pStyle w:val="NormalWeb"/>
        <w:spacing w:before="180" w:after="180"/>
      </w:pPr>
      <w:r w:rsidRPr="00C36371">
        <w:t>Facebook tried to dismiss the allegations, arguing that its actions were within the ECPA's exceptions and were consistent with its terms of service. The court acknowledged that some of Facebook's arguments were reasonable, but ruled that plaintiffs had sufficiently established specific infractions, particularly under the ECPA, to withstand dismissal at this point. As a result, the court permitted certain aspects of the lawsuit to proceed while dismissing others.</w:t>
      </w:r>
    </w:p>
    <w:p w:rsidR="00FD726B" w:rsidP="00FD726B" w:rsidRDefault="5C8B08F3" w14:paraId="77C756E3" w14:textId="3BA8E683">
      <w:pPr>
        <w:pStyle w:val="NormalWeb"/>
        <w:spacing w:before="180" w:after="180"/>
        <w:rPr>
          <w:i/>
          <w:color w:val="000000" w:themeColor="text1"/>
        </w:rPr>
      </w:pPr>
      <w:r w:rsidRPr="21600D81">
        <w:rPr>
          <w:b/>
          <w:bCs/>
          <w:color w:val="000000" w:themeColor="text1"/>
        </w:rPr>
        <w:t>Legal Question/Issue:</w:t>
      </w:r>
      <w:r w:rsidRPr="21600D81">
        <w:rPr>
          <w:color w:val="000000" w:themeColor="text1"/>
        </w:rPr>
        <w:t xml:space="preserve"> </w:t>
      </w:r>
    </w:p>
    <w:p w:rsidR="2AECCB83" w:rsidP="17DED7D1" w:rsidRDefault="2AECCB83" w14:paraId="5B6BD8F6" w14:textId="34BEC625">
      <w:pPr>
        <w:pStyle w:val="NormalWeb"/>
        <w:spacing w:before="180" w:beforeAutospacing="off" w:after="180" w:afterAutospacing="off"/>
        <w:ind w:left="0"/>
        <w:rPr>
          <w:color w:val="000000" w:themeColor="text1"/>
        </w:rPr>
      </w:pPr>
      <w:r w:rsidRPr="17DED7D1" w:rsidR="2746E118">
        <w:rPr>
          <w:color w:val="000000" w:themeColor="text1" w:themeTint="FF" w:themeShade="FF"/>
        </w:rPr>
        <w:t>Did Facebook’s scan</w:t>
      </w:r>
      <w:r w:rsidRPr="17DED7D1" w:rsidR="1DFDA948">
        <w:rPr>
          <w:color w:val="000000" w:themeColor="text1" w:themeTint="FF" w:themeShade="FF"/>
        </w:rPr>
        <w:t xml:space="preserve">ning of </w:t>
      </w:r>
      <w:r w:rsidRPr="17DED7D1" w:rsidR="2746E118">
        <w:rPr>
          <w:color w:val="000000" w:themeColor="text1" w:themeTint="FF" w:themeShade="FF"/>
        </w:rPr>
        <w:t>users’ private messages</w:t>
      </w:r>
      <w:r w:rsidRPr="17DED7D1" w:rsidR="7EF0B102">
        <w:rPr>
          <w:color w:val="000000" w:themeColor="text1" w:themeTint="FF" w:themeShade="FF"/>
        </w:rPr>
        <w:t xml:space="preserve"> for URLs and content</w:t>
      </w:r>
      <w:r w:rsidRPr="17DED7D1" w:rsidR="7DF89554">
        <w:rPr>
          <w:color w:val="000000" w:themeColor="text1" w:themeTint="FF" w:themeShade="FF"/>
        </w:rPr>
        <w:t xml:space="preserve"> </w:t>
      </w:r>
      <w:r w:rsidRPr="17DED7D1" w:rsidR="72EE8FFB">
        <w:rPr>
          <w:color w:val="000000" w:themeColor="text1" w:themeTint="FF" w:themeShade="FF"/>
        </w:rPr>
        <w:t>constitute</w:t>
      </w:r>
      <w:r w:rsidRPr="17DED7D1" w:rsidR="72EE8FFB">
        <w:rPr>
          <w:color w:val="000000" w:themeColor="text1" w:themeTint="FF" w:themeShade="FF"/>
        </w:rPr>
        <w:t xml:space="preserve"> an </w:t>
      </w:r>
      <w:r w:rsidRPr="17DED7D1" w:rsidR="7DF89554">
        <w:rPr>
          <w:i w:val="0"/>
          <w:iCs w:val="0"/>
          <w:color w:val="000000" w:themeColor="text1" w:themeTint="FF" w:themeShade="FF"/>
        </w:rPr>
        <w:t>‘</w:t>
      </w:r>
      <w:r w:rsidRPr="17DED7D1" w:rsidR="7EF0B102">
        <w:rPr>
          <w:i w:val="0"/>
          <w:iCs w:val="0"/>
          <w:color w:val="000000" w:themeColor="text1" w:themeTint="FF" w:themeShade="FF"/>
        </w:rPr>
        <w:t>interception</w:t>
      </w:r>
      <w:r w:rsidRPr="17DED7D1" w:rsidR="7C15A936">
        <w:rPr>
          <w:i w:val="0"/>
          <w:iCs w:val="0"/>
          <w:color w:val="000000" w:themeColor="text1" w:themeTint="FF" w:themeShade="FF"/>
        </w:rPr>
        <w:t>’</w:t>
      </w:r>
      <w:r w:rsidRPr="17DED7D1" w:rsidR="7EF0B102">
        <w:rPr>
          <w:i w:val="0"/>
          <w:iCs w:val="0"/>
          <w:color w:val="000000" w:themeColor="text1" w:themeTint="FF" w:themeShade="FF"/>
        </w:rPr>
        <w:t xml:space="preserve"> </w:t>
      </w:r>
      <w:r w:rsidRPr="17DED7D1" w:rsidR="7EF0B102">
        <w:rPr>
          <w:color w:val="000000" w:themeColor="text1" w:themeTint="FF" w:themeShade="FF"/>
        </w:rPr>
        <w:t>under the Ele</w:t>
      </w:r>
      <w:r w:rsidRPr="17DED7D1" w:rsidR="639EF317">
        <w:rPr>
          <w:color w:val="000000" w:themeColor="text1" w:themeTint="FF" w:themeShade="FF"/>
        </w:rPr>
        <w:t>ctronic Communications Privacy Act (ECPA)</w:t>
      </w:r>
      <w:r w:rsidRPr="17DED7D1" w:rsidR="2B3B4822">
        <w:rPr>
          <w:color w:val="000000" w:themeColor="text1" w:themeTint="FF" w:themeShade="FF"/>
        </w:rPr>
        <w:t>?</w:t>
      </w:r>
    </w:p>
    <w:p w:rsidR="75A0E516" w:rsidP="17DED7D1" w:rsidRDefault="75A0E516" w14:paraId="0DE7AF9F" w14:textId="278D4D7C">
      <w:pPr>
        <w:pStyle w:val="NormalWeb"/>
        <w:spacing w:before="180" w:beforeAutospacing="off" w:after="180" w:afterAutospacing="off"/>
        <w:ind w:left="0"/>
        <w:rPr>
          <w:color w:val="000000" w:themeColor="text1"/>
        </w:rPr>
      </w:pPr>
      <w:r w:rsidRPr="17DED7D1" w:rsidR="1AAD9A75">
        <w:rPr>
          <w:color w:val="000000" w:themeColor="text1" w:themeTint="FF" w:themeShade="FF"/>
        </w:rPr>
        <w:t xml:space="preserve">Can Facebook </w:t>
      </w:r>
      <w:r w:rsidRPr="17DED7D1" w:rsidR="07956F97">
        <w:rPr>
          <w:color w:val="000000" w:themeColor="text1" w:themeTint="FF" w:themeShade="FF"/>
        </w:rPr>
        <w:t xml:space="preserve">invoke </w:t>
      </w:r>
      <w:r w:rsidRPr="17DED7D1" w:rsidR="1AAD9A75">
        <w:rPr>
          <w:color w:val="000000" w:themeColor="text1" w:themeTint="FF" w:themeShade="FF"/>
        </w:rPr>
        <w:t>the Wiretap Act</w:t>
      </w:r>
      <w:r w:rsidRPr="17DED7D1" w:rsidR="3AF4E98A">
        <w:rPr>
          <w:color w:val="000000" w:themeColor="text1" w:themeTint="FF" w:themeShade="FF"/>
        </w:rPr>
        <w:t xml:space="preserve">’s </w:t>
      </w:r>
      <w:r w:rsidRPr="17DED7D1" w:rsidR="1AAD9A75">
        <w:rPr>
          <w:color w:val="000000" w:themeColor="text1" w:themeTint="FF" w:themeShade="FF"/>
        </w:rPr>
        <w:t>under the "ordinary course of business”</w:t>
      </w:r>
      <w:r w:rsidRPr="17DED7D1" w:rsidR="48D3A584">
        <w:rPr>
          <w:color w:val="000000" w:themeColor="text1" w:themeTint="FF" w:themeShade="FF"/>
        </w:rPr>
        <w:t xml:space="preserve"> </w:t>
      </w:r>
      <w:r w:rsidRPr="17DED7D1" w:rsidR="728DE6EC">
        <w:rPr>
          <w:color w:val="000000" w:themeColor="text1" w:themeTint="FF" w:themeShade="FF"/>
        </w:rPr>
        <w:t xml:space="preserve">exception to justifying </w:t>
      </w:r>
      <w:r w:rsidRPr="17DED7D1" w:rsidR="48D3A584">
        <w:rPr>
          <w:color w:val="000000" w:themeColor="text1" w:themeTint="FF" w:themeShade="FF"/>
        </w:rPr>
        <w:t xml:space="preserve">Facebook </w:t>
      </w:r>
      <w:r w:rsidRPr="17DED7D1" w:rsidR="445D03AD">
        <w:rPr>
          <w:color w:val="000000" w:themeColor="text1" w:themeTint="FF" w:themeShade="FF"/>
        </w:rPr>
        <w:t xml:space="preserve">scanning </w:t>
      </w:r>
      <w:r w:rsidRPr="17DED7D1" w:rsidR="48D3A584">
        <w:rPr>
          <w:color w:val="000000" w:themeColor="text1" w:themeTint="FF" w:themeShade="FF"/>
        </w:rPr>
        <w:t xml:space="preserve">private messages as </w:t>
      </w:r>
      <w:r w:rsidRPr="17DED7D1" w:rsidR="1C0BE982">
        <w:rPr>
          <w:color w:val="000000" w:themeColor="text1" w:themeTint="FF" w:themeShade="FF"/>
        </w:rPr>
        <w:t>part</w:t>
      </w:r>
      <w:r w:rsidRPr="17DED7D1" w:rsidR="48D3A584">
        <w:rPr>
          <w:color w:val="000000" w:themeColor="text1" w:themeTint="FF" w:themeShade="FF"/>
        </w:rPr>
        <w:t xml:space="preserve"> of </w:t>
      </w:r>
      <w:r w:rsidRPr="17DED7D1" w:rsidR="1BA2ADCD">
        <w:rPr>
          <w:color w:val="000000" w:themeColor="text1" w:themeTint="FF" w:themeShade="FF"/>
        </w:rPr>
        <w:t xml:space="preserve">its </w:t>
      </w:r>
      <w:r w:rsidRPr="17DED7D1" w:rsidR="48D3A584">
        <w:rPr>
          <w:color w:val="000000" w:themeColor="text1" w:themeTint="FF" w:themeShade="FF"/>
        </w:rPr>
        <w:t>normal busine</w:t>
      </w:r>
      <w:r w:rsidRPr="17DED7D1" w:rsidR="360EE027">
        <w:rPr>
          <w:color w:val="000000" w:themeColor="text1" w:themeTint="FF" w:themeShade="FF"/>
        </w:rPr>
        <w:t>ss operations</w:t>
      </w:r>
      <w:r w:rsidRPr="17DED7D1" w:rsidR="7D63295D">
        <w:rPr>
          <w:color w:val="000000" w:themeColor="text1" w:themeTint="FF" w:themeShade="FF"/>
        </w:rPr>
        <w:t>?</w:t>
      </w:r>
    </w:p>
    <w:p w:rsidR="00FD726B" w:rsidP="00FD726B" w:rsidRDefault="00FD726B" w14:paraId="3559612F" w14:textId="64ED939F">
      <w:pPr>
        <w:pStyle w:val="NormalWeb"/>
        <w:spacing w:before="180" w:beforeAutospacing="0" w:after="180" w:afterAutospacing="0"/>
        <w:rPr>
          <w:color w:val="000000" w:themeColor="text1"/>
        </w:rPr>
      </w:pPr>
      <w:r w:rsidRPr="4F057D0D">
        <w:rPr>
          <w:b/>
          <w:bCs/>
          <w:color w:val="000000" w:themeColor="text1"/>
        </w:rPr>
        <w:t xml:space="preserve">Legal Answers: </w:t>
      </w:r>
    </w:p>
    <w:p w:rsidR="00FD726B" w:rsidP="583A229C" w:rsidRDefault="6C4D0E5A" w14:paraId="73685115" w14:textId="1EFA071E">
      <w:pPr>
        <w:pStyle w:val="NormalWeb"/>
        <w:spacing w:before="180" w:beforeAutospacing="0" w:after="180" w:afterAutospacing="0"/>
      </w:pPr>
      <w:r w:rsidRPr="583A229C">
        <w:t>Yes, Facebook’s scanning of users’ private messages can count as an “interception” under the ECPA because if Facebook is accessing or redirecting the content of messages during transmission for reasons beyond just sending them, that can meet the definition of interception under the law.</w:t>
      </w:r>
    </w:p>
    <w:p w:rsidR="00FD726B" w:rsidP="00FD726B" w:rsidRDefault="6C4D0E5A" w14:paraId="104DAAF0" w14:textId="5338C0B2">
      <w:pPr>
        <w:pStyle w:val="NormalWeb"/>
        <w:spacing w:before="180" w:beforeAutospacing="0" w:after="180" w:afterAutospacing="0"/>
      </w:pPr>
      <w:r w:rsidRPr="583A229C">
        <w:t>No, Facebook cannot use the “ordinary course of business” exception here because the court found that it was not clear that scanning messages for things like URLs and advertising was necessary or directly related to providing the messaging service, so the exception does not apply at this stage.</w:t>
      </w:r>
    </w:p>
    <w:p w:rsidR="00FD726B" w:rsidP="6284C86C" w:rsidRDefault="00FD726B" w14:paraId="5FC78956" w14:textId="19EA06FE">
      <w:pPr>
        <w:pStyle w:val="NormalWeb"/>
        <w:spacing w:before="180" w:beforeAutospacing="0" w:after="180" w:afterAutospacing="0"/>
        <w:rPr>
          <w:b/>
          <w:bCs/>
          <w:color w:val="000000" w:themeColor="text1"/>
        </w:rPr>
      </w:pPr>
      <w:r w:rsidRPr="6284C86C">
        <w:rPr>
          <w:b/>
          <w:bCs/>
          <w:color w:val="000000" w:themeColor="text1"/>
        </w:rPr>
        <w:t>Discussion and Rationale:</w:t>
      </w:r>
      <w:r w:rsidRPr="6284C86C" w:rsidR="78F7AB70">
        <w:rPr>
          <w:b/>
          <w:bCs/>
          <w:color w:val="000000" w:themeColor="text1"/>
        </w:rPr>
        <w:t xml:space="preserve"> </w:t>
      </w:r>
    </w:p>
    <w:p w:rsidRPr="00290860" w:rsidR="00FD726B" w:rsidP="6284C86C" w:rsidRDefault="40FB9A6A" w14:paraId="49740CE8" w14:textId="7D2414EC">
      <w:pPr>
        <w:pStyle w:val="NormalWeb"/>
        <w:spacing w:before="180" w:beforeAutospacing="0" w:after="180" w:afterAutospacing="0"/>
      </w:pPr>
      <w:r>
        <w:t>The Wiretap Act was a crucial piece of reference when looking into the claims the plaintiffs originally brought to the court. Stating that it provides civil penalties against anyone who "intentionally intercepts... any wire, oral, or electronic communication</w:t>
      </w:r>
      <w:r w:rsidR="6CD29815">
        <w:t>.</w:t>
      </w:r>
      <w:r>
        <w:t xml:space="preserve">" Facebook's argument was about </w:t>
      </w:r>
      <w:r w:rsidR="168A9309">
        <w:t>how</w:t>
      </w:r>
      <w:r>
        <w:t xml:space="preserve"> "if there is no unlawful interception, there can be no unlawful use," suggesting that the distinction of interception and use would favor claim</w:t>
      </w:r>
      <w:r w:rsidR="72F89538">
        <w:t xml:space="preserve"> </w:t>
      </w:r>
      <w:r>
        <w:t xml:space="preserve">dismissal. The main claim is about how the plaintiffs suggest Facebook uses a web crawler application to look for URLs in private messages </w:t>
      </w:r>
      <w:r w:rsidR="32999AC8">
        <w:t>to</w:t>
      </w:r>
      <w:r>
        <w:t xml:space="preserve"> send server requests which can be </w:t>
      </w:r>
      <w:r w:rsidR="74628D0D">
        <w:t>deemed</w:t>
      </w:r>
      <w:r>
        <w:t xml:space="preserve"> </w:t>
      </w:r>
      <w:r w:rsidR="4F8444B4">
        <w:t>an</w:t>
      </w:r>
      <w:r>
        <w:t xml:space="preserve"> interception under the Wiretap Act. Facebook chose to challenge the claim</w:t>
      </w:r>
      <w:r w:rsidR="7F9AD1D5">
        <w:t>,</w:t>
      </w:r>
      <w:r>
        <w:t xml:space="preserve"> arguing that the "interception" under the Wiretap Act should involve "communication being acquired during transmission rather than during storage." </w:t>
      </w:r>
      <w:r w:rsidR="65E2A124">
        <w:t>It</w:t>
      </w:r>
      <w:r>
        <w:t xml:space="preserve"> was </w:t>
      </w:r>
      <w:r w:rsidR="65E2A124">
        <w:t>concluded</w:t>
      </w:r>
      <w:r>
        <w:t xml:space="preserve"> that the interception happened during the transit</w:t>
      </w:r>
      <w:r w:rsidR="429366C8">
        <w:t>,</w:t>
      </w:r>
      <w:r>
        <w:t xml:space="preserve"> and so it </w:t>
      </w:r>
      <w:r w:rsidR="4B78A66C">
        <w:t>wa</w:t>
      </w:r>
      <w:r>
        <w:t xml:space="preserve">s still able to be used. If they can provide information suggesting it happens during </w:t>
      </w:r>
      <w:r w:rsidR="540888EA">
        <w:t>storage,</w:t>
      </w:r>
      <w:r>
        <w:t xml:space="preserve"> then it can be </w:t>
      </w:r>
      <w:r w:rsidR="4DA87EE8">
        <w:t>investigated</w:t>
      </w:r>
      <w:r>
        <w:t xml:space="preserve"> at a later judgment.</w:t>
      </w:r>
      <w:r w:rsidR="7B4BBA18">
        <w:t xml:space="preserve"> </w:t>
      </w:r>
      <w:r>
        <w:t>The court discusses multiple cases that are important for the decision of the Facebook case, but two prominent cases provide helpful references with the Wiretap Act's exception for interceptions regarding it being "conducted by an electronic communications service provider occurring in 'the ordinary course of its business.'" Looking at the two cases involving Google Inc., one referenced as Gmail and the other Google, they both decided about the scanning of emails and</w:t>
      </w:r>
      <w:r w:rsidR="20235A50">
        <w:t xml:space="preserve"> </w:t>
      </w:r>
      <w:r>
        <w:t xml:space="preserve">privacy concerns. The Gmail case denied the motion to dismiss because the business exception was not applicable </w:t>
      </w:r>
      <w:r w:rsidR="2F7450FE">
        <w:t xml:space="preserve">since </w:t>
      </w:r>
      <w:r>
        <w:t>the interception needs to be relevant to the electronic communication service</w:t>
      </w:r>
      <w:r w:rsidR="7C75EDBE">
        <w:t>, which theirs was not</w:t>
      </w:r>
      <w:r>
        <w:t xml:space="preserve">. In the Google case, they decided that the personal information collected to create a user profile to send out targeted advertising was within the course of business and so the claim was denied. The two Google cases are important for the Facebook case due to how they can analyze whether or not the Facebook interception is instrumental for their business services. The court emphasizes not being able to "rely on a generic, one-size-fits-all approach" because it can't apply to all electronic communication service providers. Facebook </w:t>
      </w:r>
      <w:r w:rsidR="3D413460">
        <w:t>could not</w:t>
      </w:r>
      <w:r>
        <w:t xml:space="preserve"> provide a reason for how the challenged practice applies to their </w:t>
      </w:r>
      <w:r w:rsidR="1FECBAE7">
        <w:t>business,</w:t>
      </w:r>
      <w:r>
        <w:t xml:space="preserve"> and so the court is unable to determine if the exception applies</w:t>
      </w:r>
      <w:r w:rsidR="072522C9">
        <w:t>, as well as</w:t>
      </w:r>
      <w:r>
        <w:t xml:space="preserve"> if the practice is </w:t>
      </w:r>
      <w:r w:rsidR="072522C9">
        <w:t>“</w:t>
      </w:r>
      <w:r>
        <w:t>ordinary.</w:t>
      </w:r>
      <w:r w:rsidR="2D2759E3">
        <w:t>”</w:t>
      </w:r>
      <w:r w:rsidR="722A17B2">
        <w:t xml:space="preserve"> </w:t>
      </w:r>
      <w:r>
        <w:t>There is later mention of how expressing or implying consent from either party to the interception means there is no violation of the Wiretap Act, which Facebook argued did happen in its "Statement of Rights and Responsibilities" and "Data Use Policy</w:t>
      </w:r>
      <w:r w:rsidR="37A5F577">
        <w:t>,” which</w:t>
      </w:r>
      <w:r>
        <w:t xml:space="preserve"> need to be </w:t>
      </w:r>
      <w:r w:rsidR="0428ABB2">
        <w:t>agreed</w:t>
      </w:r>
      <w:r>
        <w:t xml:space="preserve"> by users </w:t>
      </w:r>
      <w:r w:rsidR="0EE8318D">
        <w:t>to</w:t>
      </w:r>
      <w:r>
        <w:t xml:space="preserve"> use the site. Facebook does tell users that they "receive data about you whenever you use or are running Facebook" including the messaging process. Although, the court decided that the disclosure is not specific enough </w:t>
      </w:r>
      <w:r w:rsidR="1E969745">
        <w:t>to show</w:t>
      </w:r>
      <w:r>
        <w:t xml:space="preserve"> users consented to targeted advertising</w:t>
      </w:r>
      <w:r w:rsidR="402719C3">
        <w:t>,</w:t>
      </w:r>
      <w:r>
        <w:t xml:space="preserve"> </w:t>
      </w:r>
      <w:r w:rsidR="1715E554">
        <w:t>w</w:t>
      </w:r>
      <w:r>
        <w:t>hich led to the court rejecting the argument of the plaintiffs expressing consent. It is also stated that the consent with sending messages is not equivalent to consent with the interception process for targeted advertising, thus the court decided they have not implied consent</w:t>
      </w:r>
      <w:r w:rsidR="294DB46B">
        <w:t>,</w:t>
      </w:r>
      <w:r>
        <w:t xml:space="preserve"> and the motion to dismiss the plaintiffs' Wiretap Act claim was denied.</w:t>
      </w:r>
    </w:p>
    <w:p w:rsidRPr="00290860" w:rsidR="00FD726B" w:rsidP="55E5B53D" w:rsidRDefault="169C6624" w14:paraId="34D4C01F" w14:textId="311B8182">
      <w:pPr>
        <w:pStyle w:val="NormalWeb"/>
        <w:spacing w:before="180" w:beforeAutospacing="0" w:after="180" w:afterAutospacing="0"/>
      </w:pPr>
      <w:r>
        <w:t xml:space="preserve">The California Invasion of Privacy Act is used for civil liability with section 631 regarding </w:t>
      </w:r>
      <w:r w:rsidR="1D500D6E">
        <w:t>i</w:t>
      </w:r>
      <w:r w:rsidR="4B61FE45">
        <w:t xml:space="preserve">ntentional taping of a communication source </w:t>
      </w:r>
      <w:r>
        <w:t xml:space="preserve">without the consent of all </w:t>
      </w:r>
      <w:r w:rsidR="4B61FE45">
        <w:t xml:space="preserve">the </w:t>
      </w:r>
      <w:r>
        <w:t>parties</w:t>
      </w:r>
      <w:r w:rsidR="3347451C">
        <w:t>.</w:t>
      </w:r>
      <w:r w:rsidR="4B61FE45">
        <w:t xml:space="preserve"> </w:t>
      </w:r>
      <w:r>
        <w:t xml:space="preserve">Facebook argued that </w:t>
      </w:r>
      <w:r w:rsidR="0AF9AE68">
        <w:t>the c</w:t>
      </w:r>
      <w:r w:rsidR="3A5ABE38">
        <w:t xml:space="preserve">laim </w:t>
      </w:r>
      <w:r w:rsidR="165760DD">
        <w:t xml:space="preserve">under this section </w:t>
      </w:r>
      <w:r>
        <w:t>should fail</w:t>
      </w:r>
      <w:r w:rsidR="09401DDF">
        <w:t>, s</w:t>
      </w:r>
      <w:r w:rsidR="3A5ABE38">
        <w:t>tating</w:t>
      </w:r>
      <w:r>
        <w:t xml:space="preserve"> that </w:t>
      </w:r>
      <w:r w:rsidR="2AC48CC5">
        <w:t>users</w:t>
      </w:r>
      <w:r>
        <w:t xml:space="preserve"> consented to the interception, which </w:t>
      </w:r>
      <w:r w:rsidR="08FC995E">
        <w:t>wa</w:t>
      </w:r>
      <w:r>
        <w:t>s once again rejected, and that they couldn't have been intercepted in transit due to the messages being "entirely contained within Facebook's network</w:t>
      </w:r>
      <w:r w:rsidR="3C5D57C6">
        <w:t>.</w:t>
      </w:r>
      <w:r w:rsidR="3A5ABE38">
        <w:t>"</w:t>
      </w:r>
      <w:r>
        <w:t xml:space="preserve"> There was evidence provided which shows users can send messages to non-Facebook email addresses, proving that the messages cannot be contained entirely within the network. Facebook did not address that argument, and so the court denied their motion to dismiss the claims. Another claim was provided under section 632 of CIPA </w:t>
      </w:r>
      <w:r w:rsidR="4C13B6BC">
        <w:t xml:space="preserve">regarding people </w:t>
      </w:r>
      <w:r>
        <w:t>who</w:t>
      </w:r>
      <w:r w:rsidR="4C13B6BC">
        <w:t xml:space="preserve"> eavesdrop or record confidential information</w:t>
      </w:r>
      <w:r>
        <w:t xml:space="preserve"> without the </w:t>
      </w:r>
      <w:r w:rsidR="4C13B6BC">
        <w:t xml:space="preserve">parties’ </w:t>
      </w:r>
      <w:r>
        <w:t>consent</w:t>
      </w:r>
      <w:r w:rsidR="4C13B6BC">
        <w:t>.</w:t>
      </w:r>
      <w:r>
        <w:t xml:space="preserve"> Facebook mentions their consent argument, while also mentioning that the plaintiffs have not alleged any "confidential communication." With reference to multiple cases, they decided </w:t>
      </w:r>
      <w:r w:rsidR="28D21779">
        <w:t>that</w:t>
      </w:r>
      <w:r>
        <w:t xml:space="preserve"> Internet-based communications cannot be "confidential" because they can be easily shared by people such as the recipients. </w:t>
      </w:r>
      <w:r w:rsidR="5C36916F">
        <w:t>Referencing to</w:t>
      </w:r>
      <w:r w:rsidR="56D52351">
        <w:t xml:space="preserve"> </w:t>
      </w:r>
      <w:r>
        <w:t xml:space="preserve">the Gmail case, they </w:t>
      </w:r>
      <w:r w:rsidR="749B515C">
        <w:t xml:space="preserve">decided that email is more </w:t>
      </w:r>
      <w:bookmarkStart w:name="_Int_GNn7dZHu" w:id="0"/>
      <w:r w:rsidR="749B515C">
        <w:t>similar to</w:t>
      </w:r>
      <w:bookmarkEnd w:id="0"/>
      <w:r w:rsidR="749B515C">
        <w:t xml:space="preserve"> internet chats than a phone call.</w:t>
      </w:r>
      <w:r>
        <w:t xml:space="preserve"> The Gmail reasoning was the most </w:t>
      </w:r>
      <w:r w:rsidR="02EB6756">
        <w:t>persuasive,</w:t>
      </w:r>
      <w:r>
        <w:t xml:space="preserve"> and the plaintiffs did not provide enough facts to suggest the communications were confidential, so the motion to dismiss the claim was granted.</w:t>
      </w:r>
    </w:p>
    <w:p w:rsidR="00FD726B" w:rsidP="4BFE28E1" w:rsidRDefault="4B683DE1" w14:paraId="64A43FED" w14:textId="5F456994">
      <w:pPr>
        <w:pStyle w:val="NormalWeb"/>
        <w:spacing w:before="180" w:beforeAutospacing="0" w:after="180" w:afterAutospacing="0"/>
        <w:rPr>
          <w:color w:val="000000" w:themeColor="text1"/>
        </w:rPr>
      </w:pPr>
      <w:r w:rsidRPr="00290860">
        <w:t xml:space="preserve">The California Business &amp; Professionals </w:t>
      </w:r>
      <w:bookmarkStart w:name="_Int_QzF3ZyTA" w:id="1"/>
      <w:r w:rsidRPr="00290860">
        <w:t>Code</w:t>
      </w:r>
      <w:bookmarkEnd w:id="1"/>
      <w:r w:rsidRPr="00290860">
        <w:t xml:space="preserve"> section 17200(UCL) is used in the next claim, which prohibits any unlawful business acts or </w:t>
      </w:r>
      <w:r w:rsidRPr="4BFE28E1">
        <w:rPr>
          <w:color w:val="000000" w:themeColor="text1"/>
        </w:rPr>
        <w:t xml:space="preserve">practices. Their UCL claim needs to meet certain requirements, and Facebook argued that they failed to meet both requirements of having suffered an injury and losing money or property. The Ninth Circuit recently rejected the argument for the injury in fact requirement. </w:t>
      </w:r>
      <w:r w:rsidRPr="720F63EE" w:rsidR="3610106D">
        <w:rPr>
          <w:color w:val="000000" w:themeColor="text1"/>
        </w:rPr>
        <w:t>The plaintiffs tried to argue they had “property interest,” but the argument was too broad</w:t>
      </w:r>
      <w:r w:rsidRPr="78C13D35" w:rsidR="3610106D">
        <w:rPr>
          <w:color w:val="000000" w:themeColor="text1"/>
        </w:rPr>
        <w:t>,</w:t>
      </w:r>
      <w:r w:rsidRPr="720F63EE" w:rsidR="3610106D">
        <w:rPr>
          <w:color w:val="000000" w:themeColor="text1"/>
        </w:rPr>
        <w:t xml:space="preserve"> and it was deemed they didn’t lose any money or </w:t>
      </w:r>
      <w:r w:rsidRPr="6CB76D13" w:rsidR="3610106D">
        <w:rPr>
          <w:color w:val="000000" w:themeColor="text1"/>
        </w:rPr>
        <w:t>property</w:t>
      </w:r>
      <w:r w:rsidRPr="1FBCB819" w:rsidR="3610106D">
        <w:rPr>
          <w:color w:val="000000" w:themeColor="text1"/>
        </w:rPr>
        <w:t>,</w:t>
      </w:r>
      <w:r w:rsidRPr="6CB76D13" w:rsidR="3610106D">
        <w:rPr>
          <w:color w:val="000000" w:themeColor="text1"/>
        </w:rPr>
        <w:t xml:space="preserve"> and the dismiss was granted.</w:t>
      </w:r>
      <w:r w:rsidRPr="313992BD" w:rsidR="3610106D">
        <w:rPr>
          <w:color w:val="000000" w:themeColor="text1"/>
        </w:rPr>
        <w:t xml:space="preserve"> </w:t>
      </w:r>
      <w:r w:rsidRPr="6CB76D13">
        <w:rPr>
          <w:color w:val="000000" w:themeColor="text1"/>
        </w:rPr>
        <w:t>Facebook</w:t>
      </w:r>
      <w:r w:rsidRPr="4BFE28E1">
        <w:rPr>
          <w:color w:val="000000" w:themeColor="text1"/>
        </w:rPr>
        <w:t xml:space="preserve"> decided to also attempt to strike the plaintiffs' request for injunctive relief, stating that they ceased the challenged practice "nearly two years ago." The plaintiffs alleged there is a likelihood they could resume the </w:t>
      </w:r>
      <w:r w:rsidRPr="4BFE28E1" w:rsidR="5338E067">
        <w:rPr>
          <w:color w:val="000000" w:themeColor="text1"/>
        </w:rPr>
        <w:t>practice,</w:t>
      </w:r>
      <w:r w:rsidRPr="4BFE28E1">
        <w:rPr>
          <w:color w:val="000000" w:themeColor="text1"/>
        </w:rPr>
        <w:t xml:space="preserve"> and so the court denied their request to </w:t>
      </w:r>
      <w:bookmarkStart w:name="_Int_1OzrTMPp" w:id="2"/>
      <w:r w:rsidRPr="4BFE28E1">
        <w:rPr>
          <w:color w:val="000000" w:themeColor="text1"/>
        </w:rPr>
        <w:t>strike</w:t>
      </w:r>
      <w:bookmarkEnd w:id="2"/>
      <w:r w:rsidRPr="4BFE28E1">
        <w:rPr>
          <w:color w:val="000000" w:themeColor="text1"/>
        </w:rPr>
        <w:t xml:space="preserve"> the prayer for injunctive relief.</w:t>
      </w:r>
      <w:r w:rsidRPr="4BFE28E1" w:rsidR="72D3B293">
        <w:rPr>
          <w:color w:val="000000" w:themeColor="text1"/>
        </w:rPr>
        <w:t xml:space="preserve"> </w:t>
      </w:r>
      <w:r w:rsidRPr="4BFE28E1">
        <w:rPr>
          <w:color w:val="000000" w:themeColor="text1"/>
        </w:rPr>
        <w:t xml:space="preserve">Facebook's motions to dismiss were granted and denied with the 4 claims. The motion to </w:t>
      </w:r>
      <w:r w:rsidRPr="4BFE28E1" w:rsidR="27F7C9C5">
        <w:rPr>
          <w:color w:val="000000" w:themeColor="text1"/>
        </w:rPr>
        <w:t>dismiss</w:t>
      </w:r>
      <w:r w:rsidRPr="4BFE28E1">
        <w:rPr>
          <w:color w:val="000000" w:themeColor="text1"/>
        </w:rPr>
        <w:t xml:space="preserve"> the Wiretap Act claim and CIPA section 631 was denied, </w:t>
      </w:r>
      <w:r w:rsidRPr="4BFE28E1" w:rsidR="4A6D24F2">
        <w:rPr>
          <w:color w:val="000000" w:themeColor="text1"/>
        </w:rPr>
        <w:t xml:space="preserve">CIPA </w:t>
      </w:r>
      <w:r w:rsidRPr="4BFE28E1">
        <w:rPr>
          <w:color w:val="000000" w:themeColor="text1"/>
        </w:rPr>
        <w:t>section 632 was granted, and the request for injunctive relief was denied.</w:t>
      </w:r>
    </w:p>
    <w:p w:rsidRPr="00FD726B" w:rsidR="003077F5" w:rsidP="00FD726B" w:rsidRDefault="00FD726B" w14:paraId="3B7CDE6D" w14:textId="68ABB76A">
      <w:pPr>
        <w:pStyle w:val="NormalWeb"/>
        <w:spacing w:before="180" w:beforeAutospacing="0" w:after="180" w:afterAutospacing="0"/>
        <w:rPr>
          <w:b/>
          <w:bCs/>
          <w:color w:val="000000" w:themeColor="text1"/>
        </w:rPr>
      </w:pPr>
      <w:r w:rsidRPr="3AFE4C2C">
        <w:rPr>
          <w:b/>
          <w:bCs/>
          <w:color w:val="000000" w:themeColor="text1"/>
        </w:rPr>
        <w:t xml:space="preserve">Analysis: </w:t>
      </w:r>
    </w:p>
    <w:p w:rsidRPr="00170BC6" w:rsidR="002F6DFA" w:rsidP="002F6DFA" w:rsidRDefault="002F6DFA" w14:paraId="25E83392" w14:textId="77777777">
      <w:pPr>
        <w:spacing w:line="240" w:lineRule="auto"/>
        <w:rPr>
          <w:rFonts w:ascii="Times New Roman" w:hAnsi="Times New Roman" w:cs="Times New Roman"/>
        </w:rPr>
      </w:pPr>
      <w:r w:rsidRPr="00170BC6">
        <w:rPr>
          <w:rFonts w:ascii="Times New Roman" w:hAnsi="Times New Roman" w:cs="Times New Roman"/>
        </w:rPr>
        <w:t xml:space="preserve">The court's decision in </w:t>
      </w:r>
      <w:r w:rsidRPr="00170BC6">
        <w:rPr>
          <w:rFonts w:ascii="Times New Roman" w:hAnsi="Times New Roman" w:cs="Times New Roman"/>
          <w:i/>
          <w:iCs/>
        </w:rPr>
        <w:t>Campbell v. Facebook</w:t>
      </w:r>
      <w:r w:rsidRPr="00170BC6">
        <w:rPr>
          <w:rFonts w:ascii="Times New Roman" w:hAnsi="Times New Roman" w:cs="Times New Roman"/>
        </w:rPr>
        <w:t xml:space="preserve"> highlights the tension between digital business practices and privacy law. The case makes clear that broad terms of service agreements cannot serve as a shield against privacy claims when specific conduct is not clearly disclosed to users.</w:t>
      </w:r>
    </w:p>
    <w:p w:rsidRPr="00170BC6" w:rsidR="002F6DFA" w:rsidP="002F6DFA" w:rsidRDefault="002F6DFA" w14:paraId="56D0466D" w14:textId="0E3B326A">
      <w:pPr>
        <w:spacing w:line="240" w:lineRule="auto"/>
        <w:rPr>
          <w:rFonts w:ascii="Times New Roman" w:hAnsi="Times New Roman" w:cs="Times New Roman"/>
        </w:rPr>
      </w:pPr>
      <w:r w:rsidRPr="00170BC6">
        <w:rPr>
          <w:rFonts w:ascii="Times New Roman" w:hAnsi="Times New Roman" w:cs="Times New Roman"/>
        </w:rPr>
        <w:t>The court's rejection of the "ordinary course of business" exception was significant, as it prevented Facebook from classifying profit-driven data collection as a necessary business function. The consent analysis further demonstrated that vague privacy disclosures are insufficient to establish informed user consent. Facebook's terms of service were too generalized to authorize the specific practice of scanning private messages for advertising purposes, signaling that privacy law requires meaningful specificity in disclosure.</w:t>
      </w:r>
    </w:p>
    <w:p w:rsidRPr="00170BC6" w:rsidR="002F6DFA" w:rsidP="002F6DFA" w:rsidRDefault="002F6DFA" w14:paraId="0F2AA3A9" w14:textId="77777777">
      <w:pPr>
        <w:spacing w:line="240" w:lineRule="auto"/>
        <w:rPr>
          <w:rFonts w:ascii="Times New Roman" w:hAnsi="Times New Roman" w:cs="Times New Roman"/>
        </w:rPr>
      </w:pPr>
      <w:r w:rsidRPr="00170BC6">
        <w:rPr>
          <w:rFonts w:ascii="Times New Roman" w:hAnsi="Times New Roman" w:cs="Times New Roman"/>
        </w:rPr>
        <w:t>However, the dismissal of the CIPA section 632 and UCL claims illustrates the limits of existing legal protections. The difficulty in establishing confidentiality for internet-based communications and the inability to quantify financial harm reflect broader challenges in privacy litigation that current statutes have yet to fully address. Overall, the case serves as an important example of courts applying legacy privacy frameworks to modern social media platforms, with mixed but meaningful results for user privacy rights.</w:t>
      </w:r>
    </w:p>
    <w:p w:rsidRPr="000D6843" w:rsidR="003077F5" w:rsidP="000D6843" w:rsidRDefault="003077F5" w14:paraId="60ED6DE7" w14:textId="0241DB9A">
      <w:pPr>
        <w:pStyle w:val="NormalWeb"/>
        <w:spacing w:before="180" w:beforeAutospacing="0" w:after="180" w:afterAutospacing="0"/>
      </w:pPr>
    </w:p>
    <w:sectPr w:rsidRPr="000D6843" w:rsidR="003077F5">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intelligence2.xml><?xml version="1.0" encoding="utf-8"?>
<int2:intelligence xmlns:int2="http://schemas.microsoft.com/office/intelligence/2020/intelligence" xmlns:oel="http://schemas.microsoft.com/office/2019/extlst">
  <int2:observations>
    <int2:bookmark int2:bookmarkName="_Int_QzF3ZyTA" int2:invalidationBookmarkName="" int2:hashCode="raxpN5pibCQ2lI" int2:id="dsiQt3Mo">
      <int2:state int2:value="Rejected" int2:type="gram"/>
    </int2:bookmark>
    <int2:bookmark int2:bookmarkName="_Int_1OzrTMPp" int2:invalidationBookmarkName="" int2:hashCode="r+X9T/GoXKo5D9" int2:id="gVLqv8IG">
      <int2:state int2:value="Rejected" int2:type="gram"/>
    </int2:bookmark>
    <int2:bookmark int2:bookmarkName="_Int_GNn7dZHu" int2:invalidationBookmarkName="" int2:hashCode="E1+Tt6RJBbZOzq" int2:id="lHpjvm32">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6FC59"/>
    <w:multiLevelType w:val="hybridMultilevel"/>
    <w:tmpl w:val="FFFFFFFF"/>
    <w:lvl w:ilvl="0" w:tplc="40101372">
      <w:start w:val="1"/>
      <w:numFmt w:val="bullet"/>
      <w:lvlText w:val="-"/>
      <w:lvlJc w:val="left"/>
      <w:pPr>
        <w:ind w:left="720" w:hanging="360"/>
      </w:pPr>
      <w:rPr>
        <w:rFonts w:hint="default" w:ascii="Aptos" w:hAnsi="Aptos"/>
      </w:rPr>
    </w:lvl>
    <w:lvl w:ilvl="1" w:tplc="3E9AFD66">
      <w:start w:val="1"/>
      <w:numFmt w:val="bullet"/>
      <w:lvlText w:val="o"/>
      <w:lvlJc w:val="left"/>
      <w:pPr>
        <w:ind w:left="1440" w:hanging="360"/>
      </w:pPr>
      <w:rPr>
        <w:rFonts w:hint="default" w:ascii="Courier New" w:hAnsi="Courier New"/>
      </w:rPr>
    </w:lvl>
    <w:lvl w:ilvl="2" w:tplc="C658C48C">
      <w:start w:val="1"/>
      <w:numFmt w:val="bullet"/>
      <w:lvlText w:val=""/>
      <w:lvlJc w:val="left"/>
      <w:pPr>
        <w:ind w:left="2160" w:hanging="360"/>
      </w:pPr>
      <w:rPr>
        <w:rFonts w:hint="default" w:ascii="Wingdings" w:hAnsi="Wingdings"/>
      </w:rPr>
    </w:lvl>
    <w:lvl w:ilvl="3" w:tplc="B066A98E">
      <w:start w:val="1"/>
      <w:numFmt w:val="bullet"/>
      <w:lvlText w:val=""/>
      <w:lvlJc w:val="left"/>
      <w:pPr>
        <w:ind w:left="2880" w:hanging="360"/>
      </w:pPr>
      <w:rPr>
        <w:rFonts w:hint="default" w:ascii="Symbol" w:hAnsi="Symbol"/>
      </w:rPr>
    </w:lvl>
    <w:lvl w:ilvl="4" w:tplc="196A45E8">
      <w:start w:val="1"/>
      <w:numFmt w:val="bullet"/>
      <w:lvlText w:val="o"/>
      <w:lvlJc w:val="left"/>
      <w:pPr>
        <w:ind w:left="3600" w:hanging="360"/>
      </w:pPr>
      <w:rPr>
        <w:rFonts w:hint="default" w:ascii="Courier New" w:hAnsi="Courier New"/>
      </w:rPr>
    </w:lvl>
    <w:lvl w:ilvl="5" w:tplc="4C2228A8">
      <w:start w:val="1"/>
      <w:numFmt w:val="bullet"/>
      <w:lvlText w:val=""/>
      <w:lvlJc w:val="left"/>
      <w:pPr>
        <w:ind w:left="4320" w:hanging="360"/>
      </w:pPr>
      <w:rPr>
        <w:rFonts w:hint="default" w:ascii="Wingdings" w:hAnsi="Wingdings"/>
      </w:rPr>
    </w:lvl>
    <w:lvl w:ilvl="6" w:tplc="01547578">
      <w:start w:val="1"/>
      <w:numFmt w:val="bullet"/>
      <w:lvlText w:val=""/>
      <w:lvlJc w:val="left"/>
      <w:pPr>
        <w:ind w:left="5040" w:hanging="360"/>
      </w:pPr>
      <w:rPr>
        <w:rFonts w:hint="default" w:ascii="Symbol" w:hAnsi="Symbol"/>
      </w:rPr>
    </w:lvl>
    <w:lvl w:ilvl="7" w:tplc="10F62120">
      <w:start w:val="1"/>
      <w:numFmt w:val="bullet"/>
      <w:lvlText w:val="o"/>
      <w:lvlJc w:val="left"/>
      <w:pPr>
        <w:ind w:left="5760" w:hanging="360"/>
      </w:pPr>
      <w:rPr>
        <w:rFonts w:hint="default" w:ascii="Courier New" w:hAnsi="Courier New"/>
      </w:rPr>
    </w:lvl>
    <w:lvl w:ilvl="8" w:tplc="4E36E85A">
      <w:start w:val="1"/>
      <w:numFmt w:val="bullet"/>
      <w:lvlText w:val=""/>
      <w:lvlJc w:val="left"/>
      <w:pPr>
        <w:ind w:left="6480" w:hanging="360"/>
      </w:pPr>
      <w:rPr>
        <w:rFonts w:hint="default" w:ascii="Wingdings" w:hAnsi="Wingdings"/>
      </w:rPr>
    </w:lvl>
  </w:abstractNum>
  <w:num w:numId="1" w16cid:durableId="1434396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7F5"/>
    <w:rsid w:val="000150C9"/>
    <w:rsid w:val="0005545F"/>
    <w:rsid w:val="000577AC"/>
    <w:rsid w:val="00071046"/>
    <w:rsid w:val="0007752D"/>
    <w:rsid w:val="000C52A6"/>
    <w:rsid w:val="000D6843"/>
    <w:rsid w:val="000F45CC"/>
    <w:rsid w:val="001223F4"/>
    <w:rsid w:val="00140BC7"/>
    <w:rsid w:val="00155BDA"/>
    <w:rsid w:val="00190856"/>
    <w:rsid w:val="0019748C"/>
    <w:rsid w:val="001A6C13"/>
    <w:rsid w:val="001D7B76"/>
    <w:rsid w:val="001E62A8"/>
    <w:rsid w:val="002048AB"/>
    <w:rsid w:val="00211DD6"/>
    <w:rsid w:val="00233CA6"/>
    <w:rsid w:val="00240B8B"/>
    <w:rsid w:val="00243F2F"/>
    <w:rsid w:val="002604A0"/>
    <w:rsid w:val="0026593A"/>
    <w:rsid w:val="00290860"/>
    <w:rsid w:val="002A212A"/>
    <w:rsid w:val="002A4D2F"/>
    <w:rsid w:val="002D08B4"/>
    <w:rsid w:val="002D1E44"/>
    <w:rsid w:val="002F3F08"/>
    <w:rsid w:val="002F4F08"/>
    <w:rsid w:val="002F6DFA"/>
    <w:rsid w:val="003077F5"/>
    <w:rsid w:val="003170F0"/>
    <w:rsid w:val="00347E3E"/>
    <w:rsid w:val="003539F7"/>
    <w:rsid w:val="003616C3"/>
    <w:rsid w:val="0037191A"/>
    <w:rsid w:val="003751AC"/>
    <w:rsid w:val="00380E92"/>
    <w:rsid w:val="003A4A70"/>
    <w:rsid w:val="003D0C00"/>
    <w:rsid w:val="003F4A61"/>
    <w:rsid w:val="00425B61"/>
    <w:rsid w:val="00432E42"/>
    <w:rsid w:val="00433511"/>
    <w:rsid w:val="00451E28"/>
    <w:rsid w:val="004527EF"/>
    <w:rsid w:val="00493D92"/>
    <w:rsid w:val="004D592B"/>
    <w:rsid w:val="004D5CCA"/>
    <w:rsid w:val="004D5DA1"/>
    <w:rsid w:val="00534F2B"/>
    <w:rsid w:val="00535986"/>
    <w:rsid w:val="00536191"/>
    <w:rsid w:val="0054394C"/>
    <w:rsid w:val="0055E604"/>
    <w:rsid w:val="005715E2"/>
    <w:rsid w:val="005744E6"/>
    <w:rsid w:val="00591480"/>
    <w:rsid w:val="00597EC7"/>
    <w:rsid w:val="005C7C19"/>
    <w:rsid w:val="005E0293"/>
    <w:rsid w:val="005E3CB1"/>
    <w:rsid w:val="005F43DC"/>
    <w:rsid w:val="00631A75"/>
    <w:rsid w:val="00667BA9"/>
    <w:rsid w:val="00676765"/>
    <w:rsid w:val="006904CD"/>
    <w:rsid w:val="00701AC9"/>
    <w:rsid w:val="0070661F"/>
    <w:rsid w:val="007066E9"/>
    <w:rsid w:val="0071147B"/>
    <w:rsid w:val="00731D14"/>
    <w:rsid w:val="007442C5"/>
    <w:rsid w:val="007542B4"/>
    <w:rsid w:val="00755A34"/>
    <w:rsid w:val="00775CED"/>
    <w:rsid w:val="007C5592"/>
    <w:rsid w:val="007C6DB1"/>
    <w:rsid w:val="0080670F"/>
    <w:rsid w:val="00807136"/>
    <w:rsid w:val="00830BED"/>
    <w:rsid w:val="0086171D"/>
    <w:rsid w:val="00863CB8"/>
    <w:rsid w:val="00867ACE"/>
    <w:rsid w:val="00895AA2"/>
    <w:rsid w:val="008B40D5"/>
    <w:rsid w:val="008C1226"/>
    <w:rsid w:val="008D3AFC"/>
    <w:rsid w:val="008E3CF7"/>
    <w:rsid w:val="008E4278"/>
    <w:rsid w:val="00901181"/>
    <w:rsid w:val="00920EBA"/>
    <w:rsid w:val="00941194"/>
    <w:rsid w:val="00961F79"/>
    <w:rsid w:val="00973D12"/>
    <w:rsid w:val="009B7DF3"/>
    <w:rsid w:val="009E15ED"/>
    <w:rsid w:val="009E4048"/>
    <w:rsid w:val="009F6A88"/>
    <w:rsid w:val="00A07780"/>
    <w:rsid w:val="00A25916"/>
    <w:rsid w:val="00A73918"/>
    <w:rsid w:val="00A74AFB"/>
    <w:rsid w:val="00A7532C"/>
    <w:rsid w:val="00A760BE"/>
    <w:rsid w:val="00AB328E"/>
    <w:rsid w:val="00AB72B4"/>
    <w:rsid w:val="00B12060"/>
    <w:rsid w:val="00B1254A"/>
    <w:rsid w:val="00B14123"/>
    <w:rsid w:val="00B15685"/>
    <w:rsid w:val="00B6661F"/>
    <w:rsid w:val="00B71C73"/>
    <w:rsid w:val="00BC5553"/>
    <w:rsid w:val="00BF3143"/>
    <w:rsid w:val="00C1229F"/>
    <w:rsid w:val="00C23818"/>
    <w:rsid w:val="00C36371"/>
    <w:rsid w:val="00C42C17"/>
    <w:rsid w:val="00C852F0"/>
    <w:rsid w:val="00C94C27"/>
    <w:rsid w:val="00CD0894"/>
    <w:rsid w:val="00CD43BF"/>
    <w:rsid w:val="00CE0718"/>
    <w:rsid w:val="00D271AB"/>
    <w:rsid w:val="00D67FCF"/>
    <w:rsid w:val="00D95B2D"/>
    <w:rsid w:val="00DC5C3B"/>
    <w:rsid w:val="00DF09EB"/>
    <w:rsid w:val="00DF2D62"/>
    <w:rsid w:val="00DF62C2"/>
    <w:rsid w:val="00DF6692"/>
    <w:rsid w:val="00E12976"/>
    <w:rsid w:val="00E36E9B"/>
    <w:rsid w:val="00E45BA6"/>
    <w:rsid w:val="00E47684"/>
    <w:rsid w:val="00E749DB"/>
    <w:rsid w:val="00E829A2"/>
    <w:rsid w:val="00EA77B7"/>
    <w:rsid w:val="00EC59DD"/>
    <w:rsid w:val="00EE21BC"/>
    <w:rsid w:val="00EF3BE8"/>
    <w:rsid w:val="00EF49E4"/>
    <w:rsid w:val="00EF6546"/>
    <w:rsid w:val="00F269C5"/>
    <w:rsid w:val="00F27E53"/>
    <w:rsid w:val="00F32E7E"/>
    <w:rsid w:val="00F64494"/>
    <w:rsid w:val="00F874E0"/>
    <w:rsid w:val="00FA1A20"/>
    <w:rsid w:val="00FD5B1E"/>
    <w:rsid w:val="00FD726B"/>
    <w:rsid w:val="00FE6BF8"/>
    <w:rsid w:val="02EB6756"/>
    <w:rsid w:val="03C30FBB"/>
    <w:rsid w:val="03DFE667"/>
    <w:rsid w:val="0413684D"/>
    <w:rsid w:val="0428ABB2"/>
    <w:rsid w:val="04999967"/>
    <w:rsid w:val="05A6FE6B"/>
    <w:rsid w:val="069D29DF"/>
    <w:rsid w:val="072522C9"/>
    <w:rsid w:val="078DDBE2"/>
    <w:rsid w:val="07956F97"/>
    <w:rsid w:val="0799925A"/>
    <w:rsid w:val="08FC995E"/>
    <w:rsid w:val="09401DDF"/>
    <w:rsid w:val="09710236"/>
    <w:rsid w:val="0AB7E15F"/>
    <w:rsid w:val="0ABC15CE"/>
    <w:rsid w:val="0AF9AE68"/>
    <w:rsid w:val="0BA49ADF"/>
    <w:rsid w:val="0C4830D5"/>
    <w:rsid w:val="0EB3DE29"/>
    <w:rsid w:val="0EE8318D"/>
    <w:rsid w:val="0FC1C24B"/>
    <w:rsid w:val="10E43731"/>
    <w:rsid w:val="10ECFE11"/>
    <w:rsid w:val="118DA220"/>
    <w:rsid w:val="11B7F227"/>
    <w:rsid w:val="129D18C4"/>
    <w:rsid w:val="12DCFE2C"/>
    <w:rsid w:val="13052257"/>
    <w:rsid w:val="131BFFEB"/>
    <w:rsid w:val="13AA26EA"/>
    <w:rsid w:val="143A2B4C"/>
    <w:rsid w:val="1627423E"/>
    <w:rsid w:val="165760DD"/>
    <w:rsid w:val="165FAEC6"/>
    <w:rsid w:val="168A9309"/>
    <w:rsid w:val="169C6624"/>
    <w:rsid w:val="16CCCA9D"/>
    <w:rsid w:val="1715E554"/>
    <w:rsid w:val="1722D43B"/>
    <w:rsid w:val="17DED7D1"/>
    <w:rsid w:val="19FBCB7E"/>
    <w:rsid w:val="1A44CF6A"/>
    <w:rsid w:val="1AAD9A75"/>
    <w:rsid w:val="1BA2ADCD"/>
    <w:rsid w:val="1BA8AD0F"/>
    <w:rsid w:val="1C0BE982"/>
    <w:rsid w:val="1CE3155E"/>
    <w:rsid w:val="1D500D6E"/>
    <w:rsid w:val="1DFDA948"/>
    <w:rsid w:val="1E969745"/>
    <w:rsid w:val="1ED87D41"/>
    <w:rsid w:val="1FBCB819"/>
    <w:rsid w:val="1FECBAE7"/>
    <w:rsid w:val="20235A50"/>
    <w:rsid w:val="2148E095"/>
    <w:rsid w:val="21600D81"/>
    <w:rsid w:val="23AFD1C7"/>
    <w:rsid w:val="247C9DEB"/>
    <w:rsid w:val="253C1925"/>
    <w:rsid w:val="25B384F7"/>
    <w:rsid w:val="2647E70E"/>
    <w:rsid w:val="26858FE1"/>
    <w:rsid w:val="2746E118"/>
    <w:rsid w:val="276B2690"/>
    <w:rsid w:val="27F7C9C5"/>
    <w:rsid w:val="28D21779"/>
    <w:rsid w:val="294DB46B"/>
    <w:rsid w:val="29BC76C0"/>
    <w:rsid w:val="2AC48CC5"/>
    <w:rsid w:val="2AECCB83"/>
    <w:rsid w:val="2B3B4822"/>
    <w:rsid w:val="2BE4B1E4"/>
    <w:rsid w:val="2C5E2B85"/>
    <w:rsid w:val="2D2759E3"/>
    <w:rsid w:val="2D91888E"/>
    <w:rsid w:val="2E01D90F"/>
    <w:rsid w:val="2F16963B"/>
    <w:rsid w:val="2F7450FE"/>
    <w:rsid w:val="307DDD16"/>
    <w:rsid w:val="313992BD"/>
    <w:rsid w:val="3218277A"/>
    <w:rsid w:val="32864365"/>
    <w:rsid w:val="32999AC8"/>
    <w:rsid w:val="32C60567"/>
    <w:rsid w:val="3347451C"/>
    <w:rsid w:val="33AEDBE5"/>
    <w:rsid w:val="3419A382"/>
    <w:rsid w:val="345AC0C7"/>
    <w:rsid w:val="34A50211"/>
    <w:rsid w:val="3529F7D3"/>
    <w:rsid w:val="360EE027"/>
    <w:rsid w:val="3610106D"/>
    <w:rsid w:val="3714659A"/>
    <w:rsid w:val="37525416"/>
    <w:rsid w:val="37A5F577"/>
    <w:rsid w:val="37F65720"/>
    <w:rsid w:val="38CE113B"/>
    <w:rsid w:val="39406F93"/>
    <w:rsid w:val="39E5F48A"/>
    <w:rsid w:val="3A5ABE38"/>
    <w:rsid w:val="3ACBD851"/>
    <w:rsid w:val="3AF4E98A"/>
    <w:rsid w:val="3BC1B1E3"/>
    <w:rsid w:val="3C5D57C6"/>
    <w:rsid w:val="3D413460"/>
    <w:rsid w:val="3EEC4C5F"/>
    <w:rsid w:val="402719C3"/>
    <w:rsid w:val="406F8093"/>
    <w:rsid w:val="40FB9A6A"/>
    <w:rsid w:val="41E90CFB"/>
    <w:rsid w:val="421E87D2"/>
    <w:rsid w:val="4284740E"/>
    <w:rsid w:val="429366C8"/>
    <w:rsid w:val="43F061EC"/>
    <w:rsid w:val="445D03AD"/>
    <w:rsid w:val="453C5C49"/>
    <w:rsid w:val="4638DF61"/>
    <w:rsid w:val="465F1159"/>
    <w:rsid w:val="47EDF24C"/>
    <w:rsid w:val="48D3A584"/>
    <w:rsid w:val="4A6D24F2"/>
    <w:rsid w:val="4B61FE45"/>
    <w:rsid w:val="4B683DE1"/>
    <w:rsid w:val="4B78A66C"/>
    <w:rsid w:val="4BAA7B9D"/>
    <w:rsid w:val="4BFE28E1"/>
    <w:rsid w:val="4C13B6BC"/>
    <w:rsid w:val="4DA87EE8"/>
    <w:rsid w:val="4DCD4B48"/>
    <w:rsid w:val="4E13D901"/>
    <w:rsid w:val="4E431D6E"/>
    <w:rsid w:val="4E849679"/>
    <w:rsid w:val="4F26CC9A"/>
    <w:rsid w:val="4F8444B4"/>
    <w:rsid w:val="5111AD2E"/>
    <w:rsid w:val="51CE4280"/>
    <w:rsid w:val="521D8C7D"/>
    <w:rsid w:val="5338E067"/>
    <w:rsid w:val="5366E30B"/>
    <w:rsid w:val="5386FFEB"/>
    <w:rsid w:val="53A7BE53"/>
    <w:rsid w:val="540888EA"/>
    <w:rsid w:val="54F0B4AF"/>
    <w:rsid w:val="55E5B53D"/>
    <w:rsid w:val="56D52351"/>
    <w:rsid w:val="57C96215"/>
    <w:rsid w:val="57D7DDEF"/>
    <w:rsid w:val="583A229C"/>
    <w:rsid w:val="59FAA32A"/>
    <w:rsid w:val="5A4F9B6B"/>
    <w:rsid w:val="5ABE2842"/>
    <w:rsid w:val="5B6507CB"/>
    <w:rsid w:val="5BB19BDA"/>
    <w:rsid w:val="5C36916F"/>
    <w:rsid w:val="5C8B08F3"/>
    <w:rsid w:val="5CA71264"/>
    <w:rsid w:val="5CAA10AA"/>
    <w:rsid w:val="5DB40E1B"/>
    <w:rsid w:val="5EC3BB35"/>
    <w:rsid w:val="601327A4"/>
    <w:rsid w:val="60DA59F6"/>
    <w:rsid w:val="60DBED4E"/>
    <w:rsid w:val="61165A8D"/>
    <w:rsid w:val="61FF359F"/>
    <w:rsid w:val="6284C86C"/>
    <w:rsid w:val="632E305E"/>
    <w:rsid w:val="635D9B08"/>
    <w:rsid w:val="639EF317"/>
    <w:rsid w:val="63CB34E5"/>
    <w:rsid w:val="63FEA078"/>
    <w:rsid w:val="646ECC14"/>
    <w:rsid w:val="65119D33"/>
    <w:rsid w:val="65422AD2"/>
    <w:rsid w:val="65764CE1"/>
    <w:rsid w:val="65E2A124"/>
    <w:rsid w:val="6717F9D1"/>
    <w:rsid w:val="672A40DE"/>
    <w:rsid w:val="68013BED"/>
    <w:rsid w:val="684B8C15"/>
    <w:rsid w:val="6941800E"/>
    <w:rsid w:val="69760B2E"/>
    <w:rsid w:val="697ABA6C"/>
    <w:rsid w:val="6AD192EB"/>
    <w:rsid w:val="6B2835E7"/>
    <w:rsid w:val="6BF2FB47"/>
    <w:rsid w:val="6C1F3652"/>
    <w:rsid w:val="6C4D0E5A"/>
    <w:rsid w:val="6CB76D13"/>
    <w:rsid w:val="6CD29815"/>
    <w:rsid w:val="704B2EDF"/>
    <w:rsid w:val="70A86EF4"/>
    <w:rsid w:val="70E49D36"/>
    <w:rsid w:val="717FC24D"/>
    <w:rsid w:val="71D32E03"/>
    <w:rsid w:val="720F63EE"/>
    <w:rsid w:val="722A17B2"/>
    <w:rsid w:val="728DE6EC"/>
    <w:rsid w:val="72AEF4C3"/>
    <w:rsid w:val="72D3B293"/>
    <w:rsid w:val="72EE8FFB"/>
    <w:rsid w:val="72F89538"/>
    <w:rsid w:val="73E051BE"/>
    <w:rsid w:val="74628D0D"/>
    <w:rsid w:val="74708669"/>
    <w:rsid w:val="7477E2CF"/>
    <w:rsid w:val="747C2FFD"/>
    <w:rsid w:val="749B515C"/>
    <w:rsid w:val="753A2774"/>
    <w:rsid w:val="75A0E516"/>
    <w:rsid w:val="75B0EDEC"/>
    <w:rsid w:val="764DC09E"/>
    <w:rsid w:val="78842578"/>
    <w:rsid w:val="78C13D35"/>
    <w:rsid w:val="78F7AB70"/>
    <w:rsid w:val="7B05D5CB"/>
    <w:rsid w:val="7B3E1EF2"/>
    <w:rsid w:val="7B4BBA18"/>
    <w:rsid w:val="7C15A936"/>
    <w:rsid w:val="7C1F006A"/>
    <w:rsid w:val="7C46C16C"/>
    <w:rsid w:val="7C75EDBE"/>
    <w:rsid w:val="7D63295D"/>
    <w:rsid w:val="7DF89554"/>
    <w:rsid w:val="7E441056"/>
    <w:rsid w:val="7ED30809"/>
    <w:rsid w:val="7EF0B102"/>
    <w:rsid w:val="7F21B63F"/>
    <w:rsid w:val="7F9AD1D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10EE7"/>
  <w15:chartTrackingRefBased/>
  <w15:docId w15:val="{B1FDDC48-7790-427E-8ECA-4470F50F9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3077F5"/>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077F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77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77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77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77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77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77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77F5"/>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077F5"/>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3077F5"/>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3077F5"/>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3077F5"/>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3077F5"/>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3077F5"/>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3077F5"/>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3077F5"/>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3077F5"/>
    <w:rPr>
      <w:rFonts w:eastAsiaTheme="majorEastAsia" w:cstheme="majorBidi"/>
      <w:color w:val="272727" w:themeColor="text1" w:themeTint="D8"/>
    </w:rPr>
  </w:style>
  <w:style w:type="paragraph" w:styleId="Title">
    <w:name w:val="Title"/>
    <w:basedOn w:val="Normal"/>
    <w:next w:val="Normal"/>
    <w:link w:val="TitleChar"/>
    <w:uiPriority w:val="10"/>
    <w:qFormat/>
    <w:rsid w:val="003077F5"/>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3077F5"/>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3077F5"/>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3077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77F5"/>
    <w:pPr>
      <w:spacing w:before="160"/>
      <w:jc w:val="center"/>
    </w:pPr>
    <w:rPr>
      <w:i/>
      <w:iCs/>
      <w:color w:val="404040" w:themeColor="text1" w:themeTint="BF"/>
    </w:rPr>
  </w:style>
  <w:style w:type="character" w:styleId="QuoteChar" w:customStyle="1">
    <w:name w:val="Quote Char"/>
    <w:basedOn w:val="DefaultParagraphFont"/>
    <w:link w:val="Quote"/>
    <w:uiPriority w:val="29"/>
    <w:rsid w:val="003077F5"/>
    <w:rPr>
      <w:i/>
      <w:iCs/>
      <w:color w:val="404040" w:themeColor="text1" w:themeTint="BF"/>
    </w:rPr>
  </w:style>
  <w:style w:type="paragraph" w:styleId="ListParagraph">
    <w:name w:val="List Paragraph"/>
    <w:basedOn w:val="Normal"/>
    <w:uiPriority w:val="34"/>
    <w:qFormat/>
    <w:rsid w:val="003077F5"/>
    <w:pPr>
      <w:ind w:left="720"/>
      <w:contextualSpacing/>
    </w:pPr>
  </w:style>
  <w:style w:type="character" w:styleId="IntenseEmphasis">
    <w:name w:val="Intense Emphasis"/>
    <w:basedOn w:val="DefaultParagraphFont"/>
    <w:uiPriority w:val="21"/>
    <w:qFormat/>
    <w:rsid w:val="003077F5"/>
    <w:rPr>
      <w:i/>
      <w:iCs/>
      <w:color w:val="0F4761" w:themeColor="accent1" w:themeShade="BF"/>
    </w:rPr>
  </w:style>
  <w:style w:type="paragraph" w:styleId="IntenseQuote">
    <w:name w:val="Intense Quote"/>
    <w:basedOn w:val="Normal"/>
    <w:next w:val="Normal"/>
    <w:link w:val="IntenseQuoteChar"/>
    <w:uiPriority w:val="30"/>
    <w:qFormat/>
    <w:rsid w:val="003077F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3077F5"/>
    <w:rPr>
      <w:i/>
      <w:iCs/>
      <w:color w:val="0F4761" w:themeColor="accent1" w:themeShade="BF"/>
    </w:rPr>
  </w:style>
  <w:style w:type="character" w:styleId="IntenseReference">
    <w:name w:val="Intense Reference"/>
    <w:basedOn w:val="DefaultParagraphFont"/>
    <w:uiPriority w:val="32"/>
    <w:qFormat/>
    <w:rsid w:val="003077F5"/>
    <w:rPr>
      <w:b/>
      <w:bCs/>
      <w:smallCaps/>
      <w:color w:val="0F4761" w:themeColor="accent1" w:themeShade="BF"/>
      <w:spacing w:val="5"/>
    </w:rPr>
  </w:style>
  <w:style w:type="paragraph" w:styleId="NormalWeb">
    <w:name w:val="Normal (Web)"/>
    <w:basedOn w:val="Normal"/>
    <w:uiPriority w:val="99"/>
    <w:unhideWhenUsed/>
    <w:rsid w:val="003077F5"/>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Hyperlink">
    <w:name w:val="Hyperlink"/>
    <w:basedOn w:val="DefaultParagraphFont"/>
    <w:uiPriority w:val="99"/>
    <w:unhideWhenUsed/>
    <w:rsid w:val="00B1254A"/>
    <w:rPr>
      <w:color w:val="0000FF"/>
      <w:u w:val="single"/>
    </w:rPr>
  </w:style>
  <w:style w:type="character" w:styleId="Strong">
    <w:name w:val="Strong"/>
    <w:basedOn w:val="DefaultParagraphFont"/>
    <w:uiPriority w:val="22"/>
    <w:qFormat/>
    <w:rsid w:val="00B1254A"/>
    <w:rPr>
      <w:b/>
      <w:bCs/>
    </w:rPr>
  </w:style>
  <w:style w:type="character" w:styleId="Emphasis">
    <w:name w:val="Emphasis"/>
    <w:basedOn w:val="DefaultParagraphFont"/>
    <w:uiPriority w:val="20"/>
    <w:qFormat/>
    <w:rsid w:val="00B1254A"/>
    <w:rPr>
      <w:i/>
      <w:iCs/>
    </w:rPr>
  </w:style>
  <w:style w:type="character" w:styleId="UnresolvedMention">
    <w:name w:val="Unresolved Mention"/>
    <w:basedOn w:val="DefaultParagraphFont"/>
    <w:uiPriority w:val="99"/>
    <w:semiHidden/>
    <w:unhideWhenUsed/>
    <w:rsid w:val="002D1E44"/>
    <w:rPr>
      <w:color w:val="605E5C"/>
      <w:shd w:val="clear" w:color="auto" w:fill="E1DFDD"/>
    </w:rPr>
  </w:style>
  <w:style w:type="character" w:styleId="whitespace-normal" w:customStyle="1">
    <w:name w:val="whitespace-normal"/>
    <w:basedOn w:val="DefaultParagraphFont"/>
    <w:rsid w:val="00FD72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20/10/relationships/intelligence" Target="intelligence2.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cf48d45-3ddb-4389-a9c1-c115526eb52e}" enabled="0" method="" siteId="{7cf48d45-3ddb-4389-a9c1-c115526eb52e}"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Jao, Emily</dc:creator>
  <keywords/>
  <dc:description/>
  <lastModifiedBy>Saad, Haidah</lastModifiedBy>
  <revision>73</revision>
  <dcterms:created xsi:type="dcterms:W3CDTF">2026-03-21T17:38:00.0000000Z</dcterms:created>
  <dcterms:modified xsi:type="dcterms:W3CDTF">2026-03-24T01:36:27.7569922Z</dcterms:modified>
</coreProperties>
</file>