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11422" w:rsidP="00911422" w:rsidRDefault="00911422" w14:paraId="7655BDFF" w14:textId="77777777">
      <w:pPr>
        <w:pStyle w:val="NormalWeb"/>
        <w:spacing w:before="180" w:beforeAutospacing="0" w:after="180" w:afterAutospacing="0"/>
        <w:jc w:val="center"/>
        <w:rPr>
          <w:b/>
          <w:bCs/>
          <w:color w:val="000000" w:themeColor="text1"/>
        </w:rPr>
      </w:pPr>
    </w:p>
    <w:p w:rsidR="00911422" w:rsidP="00911422" w:rsidRDefault="00911422" w14:paraId="5266CC5B" w14:textId="77777777">
      <w:pPr>
        <w:pStyle w:val="NormalWeb"/>
        <w:spacing w:before="180" w:beforeAutospacing="0" w:after="180" w:afterAutospacing="0"/>
        <w:jc w:val="center"/>
        <w:rPr>
          <w:b/>
          <w:bCs/>
          <w:color w:val="000000" w:themeColor="text1"/>
        </w:rPr>
      </w:pPr>
    </w:p>
    <w:p w:rsidR="00911422" w:rsidP="00911422" w:rsidRDefault="00911422" w14:paraId="4CBAAE7A" w14:textId="77777777">
      <w:pPr>
        <w:pStyle w:val="NormalWeb"/>
        <w:spacing w:before="180" w:beforeAutospacing="0" w:after="180" w:afterAutospacing="0"/>
        <w:jc w:val="center"/>
        <w:rPr>
          <w:b/>
          <w:bCs/>
          <w:color w:val="000000" w:themeColor="text1"/>
        </w:rPr>
      </w:pPr>
    </w:p>
    <w:p w:rsidR="00911422" w:rsidP="00911422" w:rsidRDefault="00911422" w14:paraId="30C45BFB" w14:textId="77777777">
      <w:pPr>
        <w:pStyle w:val="NormalWeb"/>
        <w:spacing w:before="180" w:beforeAutospacing="0" w:after="180" w:afterAutospacing="0"/>
        <w:jc w:val="center"/>
        <w:rPr>
          <w:b/>
          <w:bCs/>
          <w:color w:val="000000" w:themeColor="text1"/>
        </w:rPr>
      </w:pPr>
    </w:p>
    <w:p w:rsidR="00911422" w:rsidP="00911422" w:rsidRDefault="00911422" w14:paraId="780987F8" w14:textId="77777777">
      <w:pPr>
        <w:pStyle w:val="NormalWeb"/>
        <w:spacing w:before="180" w:beforeAutospacing="0" w:after="180" w:afterAutospacing="0"/>
        <w:jc w:val="center"/>
        <w:rPr>
          <w:b/>
          <w:bCs/>
          <w:color w:val="000000" w:themeColor="text1"/>
        </w:rPr>
      </w:pPr>
    </w:p>
    <w:p w:rsidR="00911422" w:rsidP="00911422" w:rsidRDefault="00911422" w14:paraId="20B2227E" w14:textId="77777777">
      <w:pPr>
        <w:pStyle w:val="NormalWeb"/>
        <w:spacing w:before="180" w:beforeAutospacing="0" w:after="180" w:afterAutospacing="0"/>
        <w:jc w:val="center"/>
        <w:rPr>
          <w:b/>
          <w:bCs/>
          <w:color w:val="000000" w:themeColor="text1"/>
        </w:rPr>
      </w:pPr>
    </w:p>
    <w:p w:rsidR="00911422" w:rsidP="00911422" w:rsidRDefault="00911422" w14:paraId="6CE1F6BD" w14:textId="77777777">
      <w:pPr>
        <w:pStyle w:val="NormalWeb"/>
        <w:spacing w:before="180" w:beforeAutospacing="0" w:after="180" w:afterAutospacing="0"/>
        <w:jc w:val="center"/>
        <w:rPr>
          <w:b/>
          <w:bCs/>
          <w:color w:val="000000" w:themeColor="text1"/>
        </w:rPr>
      </w:pPr>
    </w:p>
    <w:p w:rsidR="00911422" w:rsidP="00911422" w:rsidRDefault="00911422" w14:paraId="33C3AEFE" w14:textId="77777777">
      <w:pPr>
        <w:pStyle w:val="NormalWeb"/>
        <w:spacing w:before="180" w:beforeAutospacing="0" w:after="180" w:afterAutospacing="0"/>
        <w:jc w:val="center"/>
        <w:rPr>
          <w:b/>
          <w:bCs/>
          <w:color w:val="000000" w:themeColor="text1"/>
        </w:rPr>
      </w:pPr>
    </w:p>
    <w:p w:rsidR="00911422" w:rsidP="00911422" w:rsidRDefault="00911422" w14:paraId="751D0330" w14:textId="77777777">
      <w:pPr>
        <w:pStyle w:val="NormalWeb"/>
        <w:spacing w:before="180" w:beforeAutospacing="0" w:after="180" w:afterAutospacing="0"/>
        <w:jc w:val="center"/>
        <w:rPr>
          <w:b/>
          <w:bCs/>
          <w:color w:val="000000" w:themeColor="text1"/>
        </w:rPr>
      </w:pPr>
    </w:p>
    <w:p w:rsidR="00911422" w:rsidP="00911422" w:rsidRDefault="00911422" w14:paraId="75103C20" w14:textId="77777777">
      <w:pPr>
        <w:pStyle w:val="NormalWeb"/>
        <w:spacing w:before="180" w:beforeAutospacing="0" w:after="180" w:afterAutospacing="0"/>
        <w:jc w:val="center"/>
        <w:rPr>
          <w:b/>
          <w:bCs/>
          <w:color w:val="000000" w:themeColor="text1"/>
        </w:rPr>
      </w:pPr>
    </w:p>
    <w:p w:rsidRPr="007A1F94" w:rsidR="00911422" w:rsidP="00911422" w:rsidRDefault="00911422" w14:paraId="0ADF82DA" w14:textId="77777777">
      <w:pPr>
        <w:pStyle w:val="NormalWeb"/>
        <w:spacing w:before="180" w:beforeAutospacing="0" w:after="180" w:afterAutospacing="0"/>
        <w:jc w:val="center"/>
        <w:rPr>
          <w:b/>
          <w:bCs/>
          <w:color w:val="000000" w:themeColor="text1"/>
        </w:rPr>
      </w:pPr>
      <w:r>
        <w:rPr>
          <w:b/>
          <w:bCs/>
          <w:color w:val="000000" w:themeColor="text1"/>
        </w:rPr>
        <w:t>Group Case Briefing 4</w:t>
      </w:r>
      <w:r w:rsidRPr="17DED7D1">
        <w:rPr>
          <w:b/>
          <w:bCs/>
          <w:color w:val="000000" w:themeColor="text1"/>
        </w:rPr>
        <w:t xml:space="preserve"> </w:t>
      </w:r>
      <w:r>
        <w:rPr>
          <w:b/>
          <w:bCs/>
          <w:color w:val="000000" w:themeColor="text1"/>
        </w:rPr>
        <w:t>– Group 9</w:t>
      </w:r>
    </w:p>
    <w:p w:rsidR="00911422" w:rsidP="00911422" w:rsidRDefault="00911422" w14:paraId="3BAB95F9" w14:textId="77777777">
      <w:pPr>
        <w:pStyle w:val="NormalWeb"/>
        <w:spacing w:before="180" w:beforeAutospacing="0" w:after="180" w:afterAutospacing="0"/>
        <w:jc w:val="center"/>
        <w:rPr>
          <w:b/>
          <w:bCs/>
          <w:color w:val="000000" w:themeColor="text1"/>
        </w:rPr>
      </w:pPr>
    </w:p>
    <w:p w:rsidRPr="006C14AA" w:rsidR="00911422" w:rsidP="00911422" w:rsidRDefault="00911422" w14:paraId="40A554D0" w14:textId="77777777">
      <w:pPr>
        <w:pStyle w:val="NormalWeb"/>
        <w:spacing w:before="180" w:beforeAutospacing="0" w:after="180" w:afterAutospacing="0"/>
        <w:jc w:val="center"/>
        <w:rPr>
          <w:color w:val="000000" w:themeColor="text1"/>
        </w:rPr>
      </w:pPr>
      <w:r>
        <w:rPr>
          <w:color w:val="000000" w:themeColor="text1"/>
        </w:rPr>
        <w:t xml:space="preserve">Emily Jao, </w:t>
      </w:r>
      <w:proofErr w:type="spellStart"/>
      <w:r>
        <w:rPr>
          <w:color w:val="000000" w:themeColor="text1"/>
        </w:rPr>
        <w:t>Haidah</w:t>
      </w:r>
      <w:proofErr w:type="spellEnd"/>
      <w:r>
        <w:rPr>
          <w:color w:val="000000" w:themeColor="text1"/>
        </w:rPr>
        <w:t xml:space="preserve"> Saad, Minh Nguyen, Sai Anurag Sudagauni, Simone Orange</w:t>
      </w:r>
    </w:p>
    <w:p w:rsidR="00911422" w:rsidP="00911422" w:rsidRDefault="00911422" w14:paraId="21B383DC" w14:textId="77777777">
      <w:pPr>
        <w:pStyle w:val="NormalWeb"/>
        <w:spacing w:before="180" w:beforeAutospacing="0" w:after="180" w:afterAutospacing="0"/>
        <w:jc w:val="center"/>
        <w:rPr>
          <w:color w:val="000000" w:themeColor="text1"/>
        </w:rPr>
      </w:pPr>
      <w:r>
        <w:rPr>
          <w:color w:val="000000" w:themeColor="text1"/>
        </w:rPr>
        <w:t>The Pennsylvania State University</w:t>
      </w:r>
    </w:p>
    <w:p w:rsidR="00911422" w:rsidP="00911422" w:rsidRDefault="00911422" w14:paraId="7ED64FA8" w14:textId="77777777">
      <w:pPr>
        <w:pStyle w:val="NormalWeb"/>
        <w:spacing w:before="180" w:beforeAutospacing="0" w:after="180" w:afterAutospacing="0"/>
        <w:jc w:val="center"/>
        <w:rPr>
          <w:color w:val="000000" w:themeColor="text1"/>
        </w:rPr>
      </w:pPr>
      <w:r>
        <w:rPr>
          <w:color w:val="000000" w:themeColor="text1"/>
        </w:rPr>
        <w:t>IST 432: Legal and Regulatory Environment of Information Science and Technology</w:t>
      </w:r>
    </w:p>
    <w:p w:rsidR="00911422" w:rsidP="00911422" w:rsidRDefault="00911422" w14:paraId="7EBADDD5" w14:textId="77777777">
      <w:pPr>
        <w:pStyle w:val="NormalWeb"/>
        <w:spacing w:before="180" w:beforeAutospacing="0" w:after="180" w:afterAutospacing="0"/>
        <w:jc w:val="center"/>
        <w:rPr>
          <w:color w:val="000000" w:themeColor="text1"/>
        </w:rPr>
      </w:pPr>
      <w:r>
        <w:rPr>
          <w:color w:val="000000" w:themeColor="text1"/>
        </w:rPr>
        <w:t xml:space="preserve">Prof. Marc Friedenberg </w:t>
      </w:r>
    </w:p>
    <w:p w:rsidR="00911422" w:rsidP="79017F23" w:rsidRDefault="198304DD" w14:paraId="61DD33AE" w14:textId="7B148B87">
      <w:pPr>
        <w:pStyle w:val="NormalWeb"/>
        <w:spacing w:before="180" w:beforeAutospacing="0" w:after="180" w:afterAutospacing="0"/>
        <w:jc w:val="center"/>
        <w:rPr>
          <w:color w:val="000000" w:themeColor="text1"/>
        </w:rPr>
      </w:pPr>
      <w:r w:rsidRPr="79017F23">
        <w:rPr>
          <w:color w:val="000000" w:themeColor="text1"/>
        </w:rPr>
        <w:t>April 6th</w:t>
      </w:r>
      <w:r w:rsidRPr="79017F23" w:rsidR="7188AB1E">
        <w:rPr>
          <w:color w:val="000000" w:themeColor="text1"/>
        </w:rPr>
        <w:t>, 2026</w:t>
      </w:r>
    </w:p>
    <w:p w:rsidR="00911422" w:rsidP="00911422" w:rsidRDefault="00911422" w14:paraId="7E148B6D" w14:textId="77777777"/>
    <w:p w:rsidR="00911422" w:rsidP="00911422" w:rsidRDefault="00911422" w14:paraId="7535C00B" w14:textId="77777777">
      <w:pPr>
        <w:rPr>
          <w:rFonts w:ascii="Times New Roman" w:hAnsi="Times New Roman" w:eastAsia="Times New Roman" w:cs="Times New Roman"/>
          <w:color w:val="003D5B"/>
          <w:kern w:val="0"/>
          <w14:ligatures w14:val="none"/>
        </w:rPr>
      </w:pPr>
    </w:p>
    <w:p w:rsidR="00911422" w:rsidP="00911422" w:rsidRDefault="00911422" w14:paraId="2A1551F8" w14:textId="77777777">
      <w:pPr>
        <w:rPr>
          <w:rFonts w:ascii="Times New Roman" w:hAnsi="Times New Roman" w:eastAsia="Times New Roman" w:cs="Times New Roman"/>
          <w:color w:val="003D5B"/>
          <w:kern w:val="0"/>
          <w14:ligatures w14:val="none"/>
        </w:rPr>
      </w:pPr>
    </w:p>
    <w:p w:rsidR="00911422" w:rsidP="00911422" w:rsidRDefault="00911422" w14:paraId="0EF66732" w14:textId="77777777">
      <w:pPr>
        <w:rPr>
          <w:rFonts w:ascii="Times New Roman" w:hAnsi="Times New Roman" w:eastAsia="Times New Roman" w:cs="Times New Roman"/>
          <w:color w:val="003D5B"/>
          <w:kern w:val="0"/>
          <w14:ligatures w14:val="none"/>
        </w:rPr>
      </w:pPr>
    </w:p>
    <w:p w:rsidR="00911422" w:rsidP="00911422" w:rsidRDefault="00911422" w14:paraId="1DE1A350" w14:textId="77777777">
      <w:pPr>
        <w:rPr>
          <w:rFonts w:ascii="Times New Roman" w:hAnsi="Times New Roman" w:eastAsia="Times New Roman" w:cs="Times New Roman"/>
          <w:color w:val="003D5B"/>
          <w:kern w:val="0"/>
          <w14:ligatures w14:val="none"/>
        </w:rPr>
      </w:pPr>
    </w:p>
    <w:p w:rsidR="00911422" w:rsidP="00911422" w:rsidRDefault="00911422" w14:paraId="7442E5BD" w14:textId="77777777">
      <w:pPr>
        <w:rPr>
          <w:rFonts w:ascii="Times New Roman" w:hAnsi="Times New Roman" w:eastAsia="Times New Roman" w:cs="Times New Roman"/>
          <w:color w:val="003D5B"/>
          <w:kern w:val="0"/>
          <w14:ligatures w14:val="none"/>
        </w:rPr>
      </w:pPr>
    </w:p>
    <w:p w:rsidR="00911422" w:rsidP="00911422" w:rsidRDefault="00911422" w14:paraId="45746DE9" w14:textId="77777777">
      <w:pPr>
        <w:rPr>
          <w:rFonts w:ascii="Times New Roman" w:hAnsi="Times New Roman" w:eastAsia="Times New Roman" w:cs="Times New Roman"/>
          <w:color w:val="003D5B"/>
          <w:kern w:val="0"/>
          <w14:ligatures w14:val="none"/>
        </w:rPr>
      </w:pPr>
    </w:p>
    <w:p w:rsidR="00911422" w:rsidP="00911422" w:rsidRDefault="00911422" w14:paraId="1EA94CDA" w14:textId="77777777">
      <w:pPr>
        <w:rPr>
          <w:rFonts w:ascii="Times New Roman" w:hAnsi="Times New Roman" w:eastAsia="Times New Roman" w:cs="Times New Roman"/>
          <w:color w:val="003D5B"/>
          <w:kern w:val="0"/>
          <w14:ligatures w14:val="none"/>
        </w:rPr>
      </w:pPr>
    </w:p>
    <w:p w:rsidR="00911422" w:rsidP="00911422" w:rsidRDefault="00911422" w14:paraId="5FF60C6D" w14:textId="77777777">
      <w:pPr>
        <w:rPr>
          <w:rFonts w:ascii="Times New Roman" w:hAnsi="Times New Roman" w:eastAsia="Times New Roman" w:cs="Times New Roman"/>
          <w:color w:val="003D5B"/>
          <w:kern w:val="0"/>
          <w14:ligatures w14:val="none"/>
        </w:rPr>
      </w:pPr>
    </w:p>
    <w:p w:rsidR="00911422" w:rsidP="00911422" w:rsidRDefault="00911422" w14:paraId="241627A7" w14:textId="77777777">
      <w:pPr>
        <w:autoSpaceDE w:val="0"/>
        <w:autoSpaceDN w:val="0"/>
        <w:adjustRightInd w:val="0"/>
        <w:spacing w:after="0" w:line="240" w:lineRule="auto"/>
        <w:rPr>
          <w:rFonts w:ascii="Times New Roman" w:hAnsi="Times New Roman" w:cs="Times New Roman"/>
          <w:b/>
          <w:bCs/>
          <w:kern w:val="0"/>
        </w:rPr>
      </w:pPr>
    </w:p>
    <w:p w:rsidR="00611628" w:rsidP="79017F23" w:rsidRDefault="00611628" w14:paraId="37AC22FB" w14:textId="77777777">
      <w:pPr>
        <w:autoSpaceDE w:val="0"/>
        <w:autoSpaceDN w:val="0"/>
        <w:adjustRightInd w:val="0"/>
        <w:spacing w:after="0" w:line="240" w:lineRule="auto"/>
        <w:rPr>
          <w:rFonts w:ascii="Times New Roman" w:hAnsi="Times New Roman" w:cs="Times New Roman"/>
          <w:b/>
          <w:bCs/>
          <w:kern w:val="0"/>
        </w:rPr>
      </w:pPr>
    </w:p>
    <w:p w:rsidR="6170FB60" w:rsidP="6170FB60" w:rsidRDefault="6170FB60" w14:paraId="228088F3" w14:textId="0C9BC30B">
      <w:pPr>
        <w:spacing w:after="0" w:line="240" w:lineRule="auto"/>
        <w:rPr>
          <w:rFonts w:ascii="Times New Roman" w:hAnsi="Times New Roman" w:cs="Times New Roman"/>
          <w:b w:val="1"/>
          <w:bCs w:val="1"/>
        </w:rPr>
      </w:pPr>
    </w:p>
    <w:p w:rsidRPr="00611628" w:rsidR="00911422" w:rsidP="79017F23" w:rsidRDefault="7188AB1E" w14:paraId="5B0B48AE" w14:textId="63726C28">
      <w:pPr>
        <w:autoSpaceDE w:val="0"/>
        <w:autoSpaceDN w:val="0"/>
        <w:adjustRightInd w:val="0"/>
        <w:spacing w:after="0" w:line="240" w:lineRule="auto"/>
      </w:pPr>
      <w:r w:rsidRPr="00C36371">
        <w:rPr>
          <w:rFonts w:ascii="Times New Roman" w:hAnsi="Times New Roman" w:cs="Times New Roman"/>
          <w:b/>
          <w:bCs/>
          <w:kern w:val="0"/>
        </w:rPr>
        <w:lastRenderedPageBreak/>
        <w:t>Title/Citation</w:t>
      </w:r>
      <w:r w:rsidRPr="008A382C" w:rsidR="5538E5F1">
        <w:rPr>
          <w:rFonts w:ascii="Times New Roman" w:hAnsi="Times New Roman" w:cs="Times New Roman"/>
          <w:b/>
          <w:bCs/>
          <w:kern w:val="0"/>
        </w:rPr>
        <w:t xml:space="preserve">: </w:t>
      </w:r>
      <w:r w:rsidRPr="008A382C" w:rsidR="5538E5F1">
        <w:rPr>
          <w:rFonts w:ascii="Times New Roman" w:hAnsi="Times New Roman" w:cs="Times New Roman"/>
        </w:rPr>
        <w:t>Feldman v. Google, Inc., 513 F. Supp. 2d 229 (E.D. Pa. 2007)</w:t>
      </w:r>
    </w:p>
    <w:p w:rsidRPr="008A382C" w:rsidR="00911422" w:rsidP="00911422" w:rsidRDefault="00911422" w14:paraId="4A21D14D" w14:textId="77777777">
      <w:pPr>
        <w:autoSpaceDE w:val="0"/>
        <w:autoSpaceDN w:val="0"/>
        <w:adjustRightInd w:val="0"/>
        <w:spacing w:after="0" w:line="240" w:lineRule="auto"/>
        <w:rPr>
          <w:rFonts w:ascii="Times New Roman" w:hAnsi="Times New Roman" w:cs="Times New Roman"/>
          <w:kern w:val="0"/>
        </w:rPr>
      </w:pPr>
    </w:p>
    <w:p w:rsidRPr="008A382C" w:rsidR="00911422" w:rsidP="00911422" w:rsidRDefault="00911422" w14:paraId="0E67669F" w14:textId="1B340D71">
      <w:pPr>
        <w:autoSpaceDE w:val="0"/>
        <w:autoSpaceDN w:val="0"/>
        <w:adjustRightInd w:val="0"/>
        <w:spacing w:after="0" w:line="240" w:lineRule="auto"/>
        <w:rPr>
          <w:rFonts w:ascii="Times New Roman" w:hAnsi="Times New Roman" w:cs="Times New Roman"/>
          <w:kern w:val="0"/>
        </w:rPr>
      </w:pPr>
      <w:r w:rsidRPr="008A382C">
        <w:rPr>
          <w:rFonts w:ascii="Times New Roman" w:hAnsi="Times New Roman" w:cs="Times New Roman"/>
          <w:b/>
          <w:bCs/>
          <w:kern w:val="0"/>
        </w:rPr>
        <w:t>Procedural History:</w:t>
      </w:r>
      <w:r w:rsidRPr="008A382C">
        <w:rPr>
          <w:rFonts w:ascii="Times New Roman" w:hAnsi="Times New Roman" w:eastAsia="MS Gothic" w:cs="Times New Roman"/>
          <w:kern w:val="0"/>
        </w:rPr>
        <w:t xml:space="preserve"> </w:t>
      </w:r>
      <w:r w:rsidRPr="008A382C" w:rsidR="008A382C">
        <w:rPr>
          <w:rFonts w:ascii="Times New Roman" w:hAnsi="Times New Roman" w:cs="Times New Roman"/>
        </w:rPr>
        <w:t>Plaintiff Lawrence E. Feldman, a lawyer, filed a lawsuit against Google, Inc. in the United States District Court for the Eastern District of Pennsylvania. Feldman alleged that Google engaged in “click fraud” through its AdWords program, charging him for fraudulent clicks on his ads. Google filed a Motion to Dismiss the Amended Complaint, or alternatively, to Transfer, which the court converted to a Motion for Summary Judgment. Feldman filed a Cross-Motion for Summary Judgment. The court ultimately had to decide whether a forum selection clause in Google’s online “clickwrap” agreement was enforceable. Judge Giles ruled that the clause was valid, denying Feldman’s motion for summary judgment.</w:t>
      </w:r>
    </w:p>
    <w:p w:rsidRPr="00C36371" w:rsidR="00911422" w:rsidP="00911422" w:rsidRDefault="00911422" w14:paraId="20D6EE5F" w14:textId="77777777">
      <w:pPr>
        <w:autoSpaceDE w:val="0"/>
        <w:autoSpaceDN w:val="0"/>
        <w:adjustRightInd w:val="0"/>
        <w:spacing w:after="0" w:line="240" w:lineRule="auto"/>
        <w:rPr>
          <w:rFonts w:ascii="Times New Roman" w:hAnsi="Times New Roman" w:cs="Times New Roman"/>
          <w:kern w:val="0"/>
        </w:rPr>
      </w:pPr>
    </w:p>
    <w:p w:rsidRPr="0022097A" w:rsidR="0022097A" w:rsidP="0022097A" w:rsidRDefault="0022097A" w14:paraId="2E529003" w14:textId="568E74C0">
      <w:pPr>
        <w:spacing w:after="0" w:line="240" w:lineRule="auto"/>
        <w:rPr>
          <w:rFonts w:ascii="Times New Roman" w:hAnsi="Times New Roman" w:eastAsia="Times New Roman" w:cs="Times New Roman"/>
          <w:kern w:val="0"/>
          <w14:ligatures w14:val="none"/>
        </w:rPr>
      </w:pPr>
      <w:r w:rsidRPr="0022097A">
        <w:rPr>
          <w:rFonts w:ascii="Times New Roman" w:hAnsi="Times New Roman" w:eastAsia="Times New Roman" w:cs="Times New Roman"/>
          <w:b/>
          <w:bCs/>
          <w:color w:val="000000"/>
          <w:kern w:val="0"/>
          <w14:ligatures w14:val="none"/>
        </w:rPr>
        <w:t>Facts/Synopsis:</w:t>
      </w:r>
      <w:r w:rsidRPr="0022097A">
        <w:rPr>
          <w:rFonts w:ascii="Times New Roman" w:hAnsi="Times New Roman" w:eastAsia="Times New Roman" w:cs="Times New Roman"/>
          <w:color w:val="000000"/>
          <w:kern w:val="0"/>
          <w14:ligatures w14:val="none"/>
        </w:rPr>
        <w:t xml:space="preserve"> In January 2003, Feldman purchased advertising through Google’s AdWords program. AdWords is a “pay-per-click” advertising system where advertisers choose keywords, and their ads appear in search results. They are only charged </w:t>
      </w:r>
      <w:r w:rsidR="00051105">
        <w:rPr>
          <w:rFonts w:ascii="Times New Roman" w:hAnsi="Times New Roman" w:eastAsia="Times New Roman" w:cs="Times New Roman"/>
          <w:color w:val="000000"/>
          <w:kern w:val="0"/>
          <w14:ligatures w14:val="none"/>
        </w:rPr>
        <w:t>if someone clicks on their advertisement.</w:t>
      </w:r>
    </w:p>
    <w:p w:rsidRPr="0022097A" w:rsidR="0022097A" w:rsidP="0022097A" w:rsidRDefault="0022097A" w14:paraId="306B82DB" w14:textId="77777777">
      <w:pPr>
        <w:spacing w:before="240" w:after="240" w:line="240" w:lineRule="auto"/>
        <w:rPr>
          <w:rFonts w:ascii="Times New Roman" w:hAnsi="Times New Roman" w:eastAsia="Times New Roman" w:cs="Times New Roman"/>
          <w:kern w:val="0"/>
          <w14:ligatures w14:val="none"/>
        </w:rPr>
      </w:pPr>
      <w:r w:rsidRPr="0022097A">
        <w:rPr>
          <w:rFonts w:ascii="Times New Roman" w:hAnsi="Times New Roman" w:eastAsia="Times New Roman" w:cs="Times New Roman"/>
          <w:color w:val="000000"/>
          <w:kern w:val="0"/>
          <w14:ligatures w14:val="none"/>
        </w:rPr>
        <w:t>Feldman argued that Google did not take adequate steps to prevent click fraud (false or repetitive clicks). He argued that Google had the technical ability to track and prevent these clicks but failed to use it. However, Google failed to properly warn him, investigate his complaints, or keep good records of clicks. As a result, Feldman says he was charged over $100,000 for AdWords between January 2003 and December 2005, being asked for compensation.</w:t>
      </w:r>
    </w:p>
    <w:p w:rsidRPr="00FF3773" w:rsidR="009A0946" w:rsidP="00FF3773" w:rsidRDefault="0022097A" w14:paraId="6AE7792C" w14:textId="36D9A013">
      <w:pPr>
        <w:spacing w:before="240" w:after="240" w:line="240" w:lineRule="auto"/>
        <w:rPr>
          <w:rFonts w:ascii="Times New Roman" w:hAnsi="Times New Roman" w:eastAsia="Times New Roman" w:cs="Times New Roman"/>
          <w:kern w:val="0"/>
          <w14:ligatures w14:val="none"/>
        </w:rPr>
      </w:pPr>
      <w:r w:rsidRPr="0022097A">
        <w:rPr>
          <w:rFonts w:ascii="Times New Roman" w:hAnsi="Times New Roman" w:eastAsia="Times New Roman" w:cs="Times New Roman"/>
          <w:color w:val="000000"/>
          <w:kern w:val="0"/>
          <w:shd w:val="clear" w:color="auto" w:fill="FFFFFF"/>
          <w14:ligatures w14:val="none"/>
        </w:rPr>
        <w:t>In comparison, Google argued that Feldman had agreed to its online “clickwrap” agreement. This meant that any legal conflicts had to be resolved in Santa Clara County, California. Feldman alleged that the agreement was unfair and invalid. The court examined whether the contract existed and whether Feldman had reasonable notice of its terms. Ultimately, the court upheld the agreement and ruled against Feldman for summary judgment.</w:t>
      </w:r>
    </w:p>
    <w:p w:rsidR="00911422" w:rsidP="00911422" w:rsidRDefault="00911422" w14:paraId="1BF89358" w14:textId="77777777">
      <w:pPr>
        <w:pStyle w:val="NormalWeb"/>
        <w:spacing w:before="180" w:after="180"/>
        <w:rPr>
          <w:i/>
          <w:color w:val="000000" w:themeColor="text1"/>
        </w:rPr>
      </w:pPr>
      <w:r w:rsidRPr="3AFE4C2C">
        <w:rPr>
          <w:b/>
          <w:bCs/>
          <w:color w:val="000000" w:themeColor="text1"/>
        </w:rPr>
        <w:t>Legal Question/Issue:</w:t>
      </w:r>
      <w:r w:rsidRPr="3AFE4C2C">
        <w:rPr>
          <w:color w:val="000000" w:themeColor="text1"/>
        </w:rPr>
        <w:t xml:space="preserve"> </w:t>
      </w:r>
    </w:p>
    <w:p w:rsidR="00911422" w:rsidP="5271D432" w:rsidRDefault="1E19D645" w14:paraId="2A395995" w14:textId="1076AD9E">
      <w:pPr>
        <w:pStyle w:val="NormalWeb"/>
        <w:numPr>
          <w:ilvl w:val="0"/>
          <w:numId w:val="1"/>
        </w:numPr>
        <w:spacing w:before="180" w:beforeAutospacing="0" w:after="180" w:afterAutospacing="0"/>
        <w:rPr>
          <w:color w:val="000000" w:themeColor="text1"/>
        </w:rPr>
      </w:pPr>
      <w:r w:rsidRPr="5271D432">
        <w:rPr>
          <w:color w:val="000000" w:themeColor="text1"/>
        </w:rPr>
        <w:t>Did Feldman have a binding contract with Google through AdWords clickwrap agreement, and is the agreement enforceable?</w:t>
      </w:r>
    </w:p>
    <w:p w:rsidR="57550F6F" w:rsidP="5271D432" w:rsidRDefault="57550F6F" w14:paraId="19F7EAEF" w14:textId="2FAB9404">
      <w:pPr>
        <w:pStyle w:val="NormalWeb"/>
        <w:numPr>
          <w:ilvl w:val="0"/>
          <w:numId w:val="1"/>
        </w:numPr>
        <w:spacing w:before="180" w:beforeAutospacing="0" w:after="180" w:afterAutospacing="0"/>
        <w:rPr>
          <w:color w:val="000000" w:themeColor="text1"/>
        </w:rPr>
      </w:pPr>
      <w:r w:rsidRPr="5271D432">
        <w:rPr>
          <w:color w:val="000000" w:themeColor="text1"/>
        </w:rPr>
        <w:t>Is the forum selection clause in the AdWords agreement enforceable, or can it be challenged as unconscionable?</w:t>
      </w:r>
    </w:p>
    <w:p w:rsidR="00911422" w:rsidP="00911422" w:rsidRDefault="00911422" w14:paraId="752E6EF6" w14:textId="77777777">
      <w:pPr>
        <w:pStyle w:val="NormalWeb"/>
        <w:spacing w:before="180" w:beforeAutospacing="0" w:after="180" w:afterAutospacing="0"/>
        <w:rPr>
          <w:color w:val="000000" w:themeColor="text1"/>
        </w:rPr>
      </w:pPr>
      <w:r w:rsidRPr="4F057D0D">
        <w:rPr>
          <w:b/>
          <w:bCs/>
          <w:color w:val="000000" w:themeColor="text1"/>
        </w:rPr>
        <w:t xml:space="preserve">Legal Answers: </w:t>
      </w:r>
    </w:p>
    <w:p w:rsidR="5DCD67C8" w:rsidP="4BD7D554" w:rsidRDefault="5DCD67C8" w14:paraId="7DBC8AE1" w14:textId="1D97F666">
      <w:pPr>
        <w:pStyle w:val="NormalWeb"/>
        <w:spacing w:before="180" w:beforeAutospacing="0" w:after="180" w:afterAutospacing="0"/>
        <w:rPr>
          <w:color w:val="000000" w:themeColor="text1"/>
        </w:rPr>
      </w:pPr>
      <w:r w:rsidRPr="4BD7D554">
        <w:rPr>
          <w:color w:val="000000" w:themeColor="text1"/>
        </w:rPr>
        <w:t xml:space="preserve">Yes, the clickwrap agreement is enforceable because Feldman had reasonable notice of the AdWords terms and manifested assent by clicking “Yes, I agree,” which created a binding express contract. </w:t>
      </w:r>
    </w:p>
    <w:p w:rsidR="5DCD67C8" w:rsidP="4BD7D554" w:rsidRDefault="5DCD67C8" w14:paraId="7973C2ED" w14:textId="74E28FDB">
      <w:pPr>
        <w:pStyle w:val="NormalWeb"/>
        <w:spacing w:before="180" w:beforeAutospacing="0" w:after="180" w:afterAutospacing="0"/>
        <w:rPr>
          <w:color w:val="000000" w:themeColor="text1"/>
        </w:rPr>
      </w:pPr>
      <w:r w:rsidRPr="4BD7D554">
        <w:rPr>
          <w:color w:val="000000" w:themeColor="text1"/>
        </w:rPr>
        <w:t>Yes, the forum selection clause is enforceable because it was part of that valid agreement and the contract was not unconscionable.</w:t>
      </w:r>
    </w:p>
    <w:p w:rsidR="00911422" w:rsidP="00911422" w:rsidRDefault="00911422" w14:paraId="1163B84C" w14:textId="77777777">
      <w:pPr>
        <w:pStyle w:val="NormalWeb"/>
        <w:spacing w:before="180" w:beforeAutospacing="0" w:after="180" w:afterAutospacing="0"/>
      </w:pPr>
    </w:p>
    <w:p w:rsidR="00911422" w:rsidP="79017F23" w:rsidRDefault="743A8C11" w14:paraId="01449673" w14:textId="60E12A23">
      <w:pPr>
        <w:pStyle w:val="NormalWeb"/>
        <w:spacing w:before="180" w:beforeAutospacing="0" w:after="180" w:afterAutospacing="0"/>
        <w:rPr>
          <w:b/>
          <w:bCs/>
          <w:color w:val="000000" w:themeColor="text1"/>
        </w:rPr>
      </w:pPr>
      <w:r w:rsidRPr="79017F23">
        <w:rPr>
          <w:b/>
          <w:bCs/>
          <w:color w:val="000000" w:themeColor="text1"/>
        </w:rPr>
        <w:t xml:space="preserve">Discussion and Rationale: </w:t>
      </w:r>
      <w:r w:rsidR="60285E63">
        <w:t xml:space="preserve">Defendant argued that the court must use California law due to what the AdWords agreement follows rather than Pennsylvania law, Plaintiff's law firm location. The </w:t>
      </w:r>
      <w:r w:rsidR="60285E63">
        <w:lastRenderedPageBreak/>
        <w:t xml:space="preserve">arguments had used both, but with the case being a diversity case and the need for conflict of law principles, California law was used. The Third Circuit made the final decision as to whether federal or state law would apply and decided that federal law would control it for the forum </w:t>
      </w:r>
      <w:bookmarkStart w:name="_Int_9tAdKDMz" w:id="0"/>
      <w:r w:rsidR="60285E63">
        <w:t>selection</w:t>
      </w:r>
      <w:bookmarkEnd w:id="0"/>
      <w:r w:rsidR="60285E63">
        <w:t xml:space="preserve"> clause validity.</w:t>
      </w:r>
    </w:p>
    <w:p w:rsidR="00911422" w:rsidP="79017F23" w:rsidRDefault="60285E63" w14:paraId="6AAD663F" w14:textId="7A851E16">
      <w:pPr>
        <w:pStyle w:val="NormalWeb"/>
        <w:spacing w:before="180" w:beforeAutospacing="0" w:after="180" w:afterAutospacing="0"/>
      </w:pPr>
      <w:r>
        <w:t xml:space="preserve">Plaintiff stated that the AdWords Agreement wasn’t an express contract due to him unknowingly agreeing to the terms about fixed prices for the </w:t>
      </w:r>
      <w:proofErr w:type="gramStart"/>
      <w:r>
        <w:t>provided services</w:t>
      </w:r>
      <w:proofErr w:type="gramEnd"/>
      <w:r>
        <w:t xml:space="preserve"> and the agreement not presenting a date that he agreed to the contract. Annie Hsu's affidavit showed the agreement went into effect when he activated the account. There was no evidence against it, and it was agreed upon that the agreement presented is the same that he activated. His argument about the agreement not being expressed was disproved with the definition of an express contract being when parties state their terms and an implied contract, as he’s suggesting it could be, is where they don’t. The clickwrap agreement that he said 'Yes' to </w:t>
      </w:r>
      <w:r w:rsidR="2305D860">
        <w:t xml:space="preserve">by pressing </w:t>
      </w:r>
      <w:r>
        <w:t xml:space="preserve">the button and creating his account is determined to be enforceable or not through applying traditional principles of contract law. Plaintiff had claimed he didn't know of the forum selection </w:t>
      </w:r>
      <w:r w:rsidR="4D3B3EF5">
        <w:t>clause,</w:t>
      </w:r>
      <w:r>
        <w:t xml:space="preserve"> and so he believes the clickwrap agreement isn’t equivalent to all parties being aware and as such it would be an implied contract. He cited Specht v. Netscape Comms. Corp., where the decision was that users didn’t have reasonable notice of the terms. This case isn’t completely relevant due to one process not having a visible indication that clicking the button means they download the software </w:t>
      </w:r>
      <w:r w:rsidR="6A71B24C">
        <w:t>and</w:t>
      </w:r>
      <w:r>
        <w:t xml:space="preserve"> agree to the terms and conditions. The Netscape case </w:t>
      </w:r>
      <w:r w:rsidR="1139D7BB">
        <w:t>stated that</w:t>
      </w:r>
      <w:r>
        <w:t xml:space="preserve"> the user needed to scroll down to find the terms </w:t>
      </w:r>
      <w:r w:rsidR="6A71B24C">
        <w:t>and</w:t>
      </w:r>
      <w:r>
        <w:t xml:space="preserve"> click on multiple hyperlinks to find the terms and conditions. They had another agreement method where the user couldn’t install unless they clicked on the 'Yes' button. It had scrollable text with the license </w:t>
      </w:r>
      <w:r w:rsidR="41F02D94">
        <w:t>agreement,</w:t>
      </w:r>
      <w:r>
        <w:t xml:space="preserve"> and users were required to agree to the terms before installation; like how AdWords chose to only allow for account creation if they agreed to their terms. The court decided the AdWords Agreement provided reasonable notice and a "reasonably prudent internet user” would know the terms in the agreement, and so Plaintiff did indicate </w:t>
      </w:r>
      <w:r w:rsidR="6A71B24C">
        <w:t>assent,</w:t>
      </w:r>
      <w:r>
        <w:t xml:space="preserve"> and the court believes the requirements of it being an express contract with mutual assent are satisfied.</w:t>
      </w:r>
    </w:p>
    <w:p w:rsidR="00911422" w:rsidP="79017F23" w:rsidRDefault="60285E63" w14:paraId="1547A92B" w14:textId="23DE377B">
      <w:pPr>
        <w:pStyle w:val="NormalWeb"/>
        <w:spacing w:before="180" w:beforeAutospacing="0" w:after="180" w:afterAutospacing="0"/>
      </w:pPr>
      <w:r>
        <w:t xml:space="preserve">Plaintiff argued that the agreement is unconscionable, and that defense has two components. The procedural </w:t>
      </w:r>
      <w:r w:rsidR="6A71B24C">
        <w:t>is</w:t>
      </w:r>
      <w:r>
        <w:t xml:space="preserve"> about needing to have unequal bargaining positions or hidden terms, while the </w:t>
      </w:r>
      <w:bookmarkStart w:name="_Int_RkDEa4Ib" w:id="1"/>
      <w:r w:rsidR="39A0CA42">
        <w:t>substantive</w:t>
      </w:r>
      <w:bookmarkEnd w:id="1"/>
      <w:r>
        <w:t xml:space="preserve"> </w:t>
      </w:r>
      <w:bookmarkStart w:name="_Int_JhxhujqE" w:id="2"/>
      <w:proofErr w:type="gramStart"/>
      <w:r>
        <w:t>are</w:t>
      </w:r>
      <w:bookmarkEnd w:id="2"/>
      <w:proofErr w:type="gramEnd"/>
      <w:r>
        <w:t xml:space="preserve"> about satisfaction regarding "overly harsh or one-sided results." Using California law, a contract is unconscionable if it's an adhesion contract, which are contract forms made by a party of superior </w:t>
      </w:r>
      <w:r w:rsidR="74AA877A">
        <w:t>power,</w:t>
      </w:r>
      <w:r>
        <w:t xml:space="preserve"> and the weaker party can only agree or reject without an opportunity to bargain. Plaintiff argues that the agreement was an adhesion contract due to having no negotiations</w:t>
      </w:r>
      <w:r w:rsidR="7E1D4A42">
        <w:t>,</w:t>
      </w:r>
      <w:r>
        <w:t xml:space="preserve"> and it was "offered on a 'take it or leave it' basis," but didn’t argue that any external pressures or tactics were being used to make him accept. </w:t>
      </w:r>
      <w:bookmarkStart w:name="_Int_DdtRXL2g" w:id="3"/>
      <w:r>
        <w:t>Defendant</w:t>
      </w:r>
      <w:bookmarkEnd w:id="3"/>
      <w:r>
        <w:t xml:space="preserve"> then states that Plaintiff, a lawyer, is a "sophisticated purchaser" who </w:t>
      </w:r>
      <w:r w:rsidR="6A71B24C">
        <w:t>could understand</w:t>
      </w:r>
      <w:r>
        <w:t xml:space="preserve"> them. Defendant also said other internet providers have similar advertising services so he could have purchased ads elsewhere, but Plaintiff then says the availability of other providers doesn't matter regarding the adhesion contract Defendant offers, while also mentioning one competitor has comparable advertising and a similar sign-up system. There was no evidence offered with the assertion of comparable advertising, and so Plaintiff was unable to meet the affirmative burden to show other companies offered similar services. Plaintiff was a sophisticated purchaser and </w:t>
      </w:r>
      <w:r w:rsidR="6A71B24C">
        <w:t>could understand</w:t>
      </w:r>
      <w:r>
        <w:t xml:space="preserve"> the terms, so the court found the agreement not to be unconscionable, as well as denied his motion for summary judgment.</w:t>
      </w:r>
    </w:p>
    <w:p w:rsidR="00911422" w:rsidP="00911422" w:rsidRDefault="00911422" w14:paraId="183AC42E" w14:textId="05A8358B">
      <w:pPr>
        <w:pStyle w:val="NormalWeb"/>
        <w:spacing w:before="180" w:beforeAutospacing="0" w:after="180" w:afterAutospacing="0"/>
      </w:pPr>
    </w:p>
    <w:p w:rsidRPr="00FD726B" w:rsidR="00911422" w:rsidP="00911422" w:rsidRDefault="00911422" w14:paraId="2184CD8A" w14:textId="77777777">
      <w:pPr>
        <w:pStyle w:val="NormalWeb"/>
        <w:spacing w:before="180" w:beforeAutospacing="0" w:after="180" w:afterAutospacing="0"/>
        <w:rPr>
          <w:b/>
          <w:bCs/>
          <w:color w:val="000000" w:themeColor="text1"/>
        </w:rPr>
      </w:pPr>
      <w:r w:rsidRPr="3AFE4C2C">
        <w:rPr>
          <w:b/>
          <w:bCs/>
          <w:color w:val="000000" w:themeColor="text1"/>
        </w:rPr>
        <w:lastRenderedPageBreak/>
        <w:t xml:space="preserve">Analysis: </w:t>
      </w:r>
    </w:p>
    <w:p w:rsidRPr="00485E99" w:rsidR="00485E99" w:rsidP="00485E99" w:rsidRDefault="00485E99" w14:paraId="10973DF6" w14:textId="5B88862B">
      <w:pPr>
        <w:spacing w:line="240" w:lineRule="auto"/>
        <w:rPr>
          <w:rFonts w:ascii="Times New Roman" w:hAnsi="Times New Roman" w:cs="Times New Roman"/>
          <w:color w:val="000000" w:themeColor="text1"/>
        </w:rPr>
      </w:pPr>
      <w:r w:rsidRPr="00485E99">
        <w:rPr>
          <w:rFonts w:ascii="Times New Roman" w:hAnsi="Times New Roman" w:cs="Times New Roman"/>
          <w:color w:val="000000" w:themeColor="text1"/>
        </w:rPr>
        <w:t xml:space="preserve">The court confirmed that basic contract rules apply to online agreements. Because Google required users to click "Yes, I agree" before creating an account, users had a clear opportunity to read the terms before accepting them. This set it apart from </w:t>
      </w:r>
      <w:r w:rsidRPr="00485E99">
        <w:rPr>
          <w:rFonts w:ascii="Times New Roman" w:hAnsi="Times New Roman" w:cs="Times New Roman"/>
          <w:i/>
          <w:iCs/>
          <w:color w:val="000000" w:themeColor="text1"/>
        </w:rPr>
        <w:t>Specht v. Netscape</w:t>
      </w:r>
      <w:r w:rsidRPr="00485E99">
        <w:rPr>
          <w:rFonts w:ascii="Times New Roman" w:hAnsi="Times New Roman" w:cs="Times New Roman"/>
          <w:color w:val="000000" w:themeColor="text1"/>
        </w:rPr>
        <w:t>, where terms were buried and hard to find. Feldman's claim that he did not know about the forum selection clause did not hold up</w:t>
      </w:r>
      <w:r w:rsidRPr="00633184" w:rsidR="004A6DB2">
        <w:rPr>
          <w:rFonts w:ascii="Times New Roman" w:hAnsi="Times New Roman" w:cs="Times New Roman"/>
          <w:color w:val="000000" w:themeColor="text1"/>
        </w:rPr>
        <w:t xml:space="preserve"> since</w:t>
      </w:r>
      <w:r w:rsidRPr="00633184" w:rsidR="00611628">
        <w:rPr>
          <w:rFonts w:ascii="Times New Roman" w:hAnsi="Times New Roman" w:cs="Times New Roman"/>
          <w:color w:val="000000" w:themeColor="text1"/>
        </w:rPr>
        <w:t xml:space="preserve"> </w:t>
      </w:r>
      <w:r w:rsidRPr="00485E99">
        <w:rPr>
          <w:rFonts w:ascii="Times New Roman" w:hAnsi="Times New Roman" w:cs="Times New Roman"/>
          <w:color w:val="000000" w:themeColor="text1"/>
        </w:rPr>
        <w:t>not reading terms you had access to is not a valid excuse.</w:t>
      </w:r>
    </w:p>
    <w:p w:rsidRPr="00485E99" w:rsidR="00485E99" w:rsidP="00485E99" w:rsidRDefault="00485E99" w14:paraId="1530C589" w14:textId="4E12FA90">
      <w:pPr>
        <w:spacing w:line="240" w:lineRule="auto"/>
        <w:rPr>
          <w:rFonts w:ascii="Times New Roman" w:hAnsi="Times New Roman" w:cs="Times New Roman"/>
          <w:color w:val="000000" w:themeColor="text1"/>
        </w:rPr>
      </w:pPr>
      <w:r w:rsidRPr="00485E99">
        <w:rPr>
          <w:rFonts w:ascii="Times New Roman" w:hAnsi="Times New Roman" w:cs="Times New Roman"/>
          <w:color w:val="000000" w:themeColor="text1"/>
        </w:rPr>
        <w:t>On unconscionability, while the agreement was take-it-or-leave-it, Feldman could not show that the terms were unfairly one-sided. Being a lawyer, he was also expected to understand what he was agreeing to. The case ultimately stands for a simple principle: clicking "I agree" is binding, and you are responsible for terms you had a fair chance to read.</w:t>
      </w:r>
    </w:p>
    <w:p w:rsidR="00E36E9B" w:rsidRDefault="00E36E9B" w14:paraId="347228AD" w14:textId="77777777"/>
    <w:sectPr w:rsidR="00E36E9B">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bookmark int2:bookmarkName="_Int_DdtRXL2g" int2:invalidationBookmarkName="" int2:hashCode="zutn5S0ug5ZgD7" int2:id="JdHJjH5b">
      <int2:state int2:value="Rejected" int2:type="gram"/>
    </int2:bookmark>
    <int2:bookmark int2:bookmarkName="_Int_RkDEa4Ib" int2:invalidationBookmarkName="" int2:hashCode="/HZFVmxJADcUQn" int2:id="mCeX6XgC">
      <int2:state int2:value="Rejected" int2:type="gram"/>
    </int2:bookmark>
    <int2:bookmark int2:bookmarkName="_Int_JhxhujqE" int2:invalidationBookmarkName="" int2:hashCode="X55YArurxx+Sdf" int2:id="TwR4btMU">
      <int2:state int2:value="Rejected" int2:type="gram"/>
    </int2:bookmark>
    <int2:bookmark int2:bookmarkName="_Int_9tAdKDMz" int2:invalidationBookmarkName="" int2:hashCode="b2nrfcIluIEzaJ" int2:id="nEwHvX3C">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166244"/>
    <w:multiLevelType w:val="hybridMultilevel"/>
    <w:tmpl w:val="D9C4B794"/>
    <w:lvl w:ilvl="0" w:tplc="35160E2C">
      <w:start w:val="1"/>
      <w:numFmt w:val="bullet"/>
      <w:lvlText w:val="-"/>
      <w:lvlJc w:val="left"/>
      <w:pPr>
        <w:ind w:left="720" w:hanging="360"/>
      </w:pPr>
      <w:rPr>
        <w:rFonts w:hint="default" w:ascii="Aptos" w:hAnsi="Aptos"/>
      </w:rPr>
    </w:lvl>
    <w:lvl w:ilvl="1" w:tplc="EAF43D38">
      <w:start w:val="1"/>
      <w:numFmt w:val="bullet"/>
      <w:lvlText w:val="o"/>
      <w:lvlJc w:val="left"/>
      <w:pPr>
        <w:ind w:left="1440" w:hanging="360"/>
      </w:pPr>
      <w:rPr>
        <w:rFonts w:hint="default" w:ascii="Courier New" w:hAnsi="Courier New"/>
      </w:rPr>
    </w:lvl>
    <w:lvl w:ilvl="2" w:tplc="04188958">
      <w:start w:val="1"/>
      <w:numFmt w:val="bullet"/>
      <w:lvlText w:val=""/>
      <w:lvlJc w:val="left"/>
      <w:pPr>
        <w:ind w:left="2160" w:hanging="360"/>
      </w:pPr>
      <w:rPr>
        <w:rFonts w:hint="default" w:ascii="Wingdings" w:hAnsi="Wingdings"/>
      </w:rPr>
    </w:lvl>
    <w:lvl w:ilvl="3" w:tplc="8472AC42">
      <w:start w:val="1"/>
      <w:numFmt w:val="bullet"/>
      <w:lvlText w:val=""/>
      <w:lvlJc w:val="left"/>
      <w:pPr>
        <w:ind w:left="2880" w:hanging="360"/>
      </w:pPr>
      <w:rPr>
        <w:rFonts w:hint="default" w:ascii="Symbol" w:hAnsi="Symbol"/>
      </w:rPr>
    </w:lvl>
    <w:lvl w:ilvl="4" w:tplc="FF2C0088">
      <w:start w:val="1"/>
      <w:numFmt w:val="bullet"/>
      <w:lvlText w:val="o"/>
      <w:lvlJc w:val="left"/>
      <w:pPr>
        <w:ind w:left="3600" w:hanging="360"/>
      </w:pPr>
      <w:rPr>
        <w:rFonts w:hint="default" w:ascii="Courier New" w:hAnsi="Courier New"/>
      </w:rPr>
    </w:lvl>
    <w:lvl w:ilvl="5" w:tplc="CB0E5756">
      <w:start w:val="1"/>
      <w:numFmt w:val="bullet"/>
      <w:lvlText w:val=""/>
      <w:lvlJc w:val="left"/>
      <w:pPr>
        <w:ind w:left="4320" w:hanging="360"/>
      </w:pPr>
      <w:rPr>
        <w:rFonts w:hint="default" w:ascii="Wingdings" w:hAnsi="Wingdings"/>
      </w:rPr>
    </w:lvl>
    <w:lvl w:ilvl="6" w:tplc="F59031A8">
      <w:start w:val="1"/>
      <w:numFmt w:val="bullet"/>
      <w:lvlText w:val=""/>
      <w:lvlJc w:val="left"/>
      <w:pPr>
        <w:ind w:left="5040" w:hanging="360"/>
      </w:pPr>
      <w:rPr>
        <w:rFonts w:hint="default" w:ascii="Symbol" w:hAnsi="Symbol"/>
      </w:rPr>
    </w:lvl>
    <w:lvl w:ilvl="7" w:tplc="52F4E56A">
      <w:start w:val="1"/>
      <w:numFmt w:val="bullet"/>
      <w:lvlText w:val="o"/>
      <w:lvlJc w:val="left"/>
      <w:pPr>
        <w:ind w:left="5760" w:hanging="360"/>
      </w:pPr>
      <w:rPr>
        <w:rFonts w:hint="default" w:ascii="Courier New" w:hAnsi="Courier New"/>
      </w:rPr>
    </w:lvl>
    <w:lvl w:ilvl="8" w:tplc="B89CB416">
      <w:start w:val="1"/>
      <w:numFmt w:val="bullet"/>
      <w:lvlText w:val=""/>
      <w:lvlJc w:val="left"/>
      <w:pPr>
        <w:ind w:left="6480" w:hanging="360"/>
      </w:pPr>
      <w:rPr>
        <w:rFonts w:hint="default" w:ascii="Wingdings" w:hAnsi="Wingdings"/>
      </w:rPr>
    </w:lvl>
  </w:abstractNum>
  <w:num w:numId="1" w16cid:durableId="1356737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422"/>
    <w:rsid w:val="00051105"/>
    <w:rsid w:val="000F4D49"/>
    <w:rsid w:val="00197272"/>
    <w:rsid w:val="0022097A"/>
    <w:rsid w:val="002944A9"/>
    <w:rsid w:val="003776A0"/>
    <w:rsid w:val="003964AA"/>
    <w:rsid w:val="003A4A70"/>
    <w:rsid w:val="003B16DA"/>
    <w:rsid w:val="0048187E"/>
    <w:rsid w:val="00485E99"/>
    <w:rsid w:val="004A6DB2"/>
    <w:rsid w:val="004C57A9"/>
    <w:rsid w:val="00516D4D"/>
    <w:rsid w:val="00611628"/>
    <w:rsid w:val="00633184"/>
    <w:rsid w:val="00653BE4"/>
    <w:rsid w:val="00665777"/>
    <w:rsid w:val="0070661F"/>
    <w:rsid w:val="007166A4"/>
    <w:rsid w:val="007C3DD5"/>
    <w:rsid w:val="007C64EA"/>
    <w:rsid w:val="00863CB8"/>
    <w:rsid w:val="00884353"/>
    <w:rsid w:val="008A382C"/>
    <w:rsid w:val="00911422"/>
    <w:rsid w:val="009A0946"/>
    <w:rsid w:val="00BD6F2B"/>
    <w:rsid w:val="00C13A5E"/>
    <w:rsid w:val="00D618B4"/>
    <w:rsid w:val="00E36E9B"/>
    <w:rsid w:val="00E957E3"/>
    <w:rsid w:val="00F45FAD"/>
    <w:rsid w:val="00FD564F"/>
    <w:rsid w:val="00FF3773"/>
    <w:rsid w:val="015D6C91"/>
    <w:rsid w:val="0268C557"/>
    <w:rsid w:val="1139D7BB"/>
    <w:rsid w:val="12D46823"/>
    <w:rsid w:val="198304DD"/>
    <w:rsid w:val="1E19D645"/>
    <w:rsid w:val="2305D860"/>
    <w:rsid w:val="39A0CA42"/>
    <w:rsid w:val="3E17F927"/>
    <w:rsid w:val="41F02D94"/>
    <w:rsid w:val="4BD7D554"/>
    <w:rsid w:val="4D3B3EF5"/>
    <w:rsid w:val="5271D432"/>
    <w:rsid w:val="5538E5F1"/>
    <w:rsid w:val="57550F6F"/>
    <w:rsid w:val="59F2172C"/>
    <w:rsid w:val="5A52F927"/>
    <w:rsid w:val="5DCD67C8"/>
    <w:rsid w:val="60285E63"/>
    <w:rsid w:val="6170FB60"/>
    <w:rsid w:val="6507358C"/>
    <w:rsid w:val="66A7AA0C"/>
    <w:rsid w:val="6A71B24C"/>
    <w:rsid w:val="70D1415D"/>
    <w:rsid w:val="7188AB1E"/>
    <w:rsid w:val="743A8C11"/>
    <w:rsid w:val="74AA877A"/>
    <w:rsid w:val="79017F23"/>
    <w:rsid w:val="79267A1D"/>
    <w:rsid w:val="7E1D4A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D8770"/>
  <w15:chartTrackingRefBased/>
  <w15:docId w15:val="{557F76C7-3E42-BE45-9E37-F67B2BC31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11422"/>
  </w:style>
  <w:style w:type="paragraph" w:styleId="Heading1">
    <w:name w:val="heading 1"/>
    <w:basedOn w:val="Normal"/>
    <w:next w:val="Normal"/>
    <w:link w:val="Heading1Char"/>
    <w:uiPriority w:val="9"/>
    <w:qFormat/>
    <w:rsid w:val="0091142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142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14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14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14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14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4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4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42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1142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1142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1142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1142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1142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1142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1142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1142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11422"/>
    <w:rPr>
      <w:rFonts w:eastAsiaTheme="majorEastAsia" w:cstheme="majorBidi"/>
      <w:color w:val="272727" w:themeColor="text1" w:themeTint="D8"/>
    </w:rPr>
  </w:style>
  <w:style w:type="paragraph" w:styleId="Title">
    <w:name w:val="Title"/>
    <w:basedOn w:val="Normal"/>
    <w:next w:val="Normal"/>
    <w:link w:val="TitleChar"/>
    <w:uiPriority w:val="10"/>
    <w:qFormat/>
    <w:rsid w:val="0091142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1142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1142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114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422"/>
    <w:pPr>
      <w:spacing w:before="160"/>
      <w:jc w:val="center"/>
    </w:pPr>
    <w:rPr>
      <w:i/>
      <w:iCs/>
      <w:color w:val="404040" w:themeColor="text1" w:themeTint="BF"/>
    </w:rPr>
  </w:style>
  <w:style w:type="character" w:styleId="QuoteChar" w:customStyle="1">
    <w:name w:val="Quote Char"/>
    <w:basedOn w:val="DefaultParagraphFont"/>
    <w:link w:val="Quote"/>
    <w:uiPriority w:val="29"/>
    <w:rsid w:val="00911422"/>
    <w:rPr>
      <w:i/>
      <w:iCs/>
      <w:color w:val="404040" w:themeColor="text1" w:themeTint="BF"/>
    </w:rPr>
  </w:style>
  <w:style w:type="paragraph" w:styleId="ListParagraph">
    <w:name w:val="List Paragraph"/>
    <w:basedOn w:val="Normal"/>
    <w:uiPriority w:val="34"/>
    <w:qFormat/>
    <w:rsid w:val="00911422"/>
    <w:pPr>
      <w:ind w:left="720"/>
      <w:contextualSpacing/>
    </w:pPr>
  </w:style>
  <w:style w:type="character" w:styleId="IntenseEmphasis">
    <w:name w:val="Intense Emphasis"/>
    <w:basedOn w:val="DefaultParagraphFont"/>
    <w:uiPriority w:val="21"/>
    <w:qFormat/>
    <w:rsid w:val="00911422"/>
    <w:rPr>
      <w:i/>
      <w:iCs/>
      <w:color w:val="0F4761" w:themeColor="accent1" w:themeShade="BF"/>
    </w:rPr>
  </w:style>
  <w:style w:type="paragraph" w:styleId="IntenseQuote">
    <w:name w:val="Intense Quote"/>
    <w:basedOn w:val="Normal"/>
    <w:next w:val="Normal"/>
    <w:link w:val="IntenseQuoteChar"/>
    <w:uiPriority w:val="30"/>
    <w:qFormat/>
    <w:rsid w:val="0091142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11422"/>
    <w:rPr>
      <w:i/>
      <w:iCs/>
      <w:color w:val="0F4761" w:themeColor="accent1" w:themeShade="BF"/>
    </w:rPr>
  </w:style>
  <w:style w:type="character" w:styleId="IntenseReference">
    <w:name w:val="Intense Reference"/>
    <w:basedOn w:val="DefaultParagraphFont"/>
    <w:uiPriority w:val="32"/>
    <w:qFormat/>
    <w:rsid w:val="00911422"/>
    <w:rPr>
      <w:b/>
      <w:bCs/>
      <w:smallCaps/>
      <w:color w:val="0F4761" w:themeColor="accent1" w:themeShade="BF"/>
      <w:spacing w:val="5"/>
    </w:rPr>
  </w:style>
  <w:style w:type="paragraph" w:styleId="NormalWeb">
    <w:name w:val="Normal (Web)"/>
    <w:basedOn w:val="Normal"/>
    <w:uiPriority w:val="99"/>
    <w:unhideWhenUsed/>
    <w:rsid w:val="00911422"/>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Hyperlink">
    <w:name w:val="Hyperlink"/>
    <w:basedOn w:val="DefaultParagraphFont"/>
    <w:uiPriority w:val="99"/>
    <w:unhideWhenUsed/>
    <w:rsid w:val="00911422"/>
    <w:rPr>
      <w:color w:val="467886" w:themeColor="hyperlink"/>
      <w:u w:val="single"/>
    </w:rPr>
  </w:style>
  <w:style w:type="character" w:styleId="FollowedHyperlink">
    <w:name w:val="FollowedHyperlink"/>
    <w:basedOn w:val="DefaultParagraphFont"/>
    <w:uiPriority w:val="99"/>
    <w:semiHidden/>
    <w:unhideWhenUsed/>
    <w:rsid w:val="00911422"/>
    <w:rPr>
      <w:color w:val="96607D" w:themeColor="followedHyperlink"/>
      <w:u w:val="single"/>
    </w:rPr>
  </w:style>
  <w:style w:type="character" w:styleId="Emphasis">
    <w:name w:val="Emphasis"/>
    <w:basedOn w:val="DefaultParagraphFont"/>
    <w:uiPriority w:val="20"/>
    <w:qFormat/>
    <w:rsid w:val="00C13A5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20/10/relationships/intelligence" Target="intelligence2.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Jao, Emily</dc:creator>
  <keywords/>
  <dc:description/>
  <lastModifiedBy>Sudagauni, Sai Anurag</lastModifiedBy>
  <revision>30</revision>
  <dcterms:created xsi:type="dcterms:W3CDTF">2026-03-31T01:00:00.0000000Z</dcterms:created>
  <dcterms:modified xsi:type="dcterms:W3CDTF">2026-04-07T02:23:03.3430451Z</dcterms:modified>
</coreProperties>
</file>