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SMM635 Final Course Project</w:t>
      </w:r>
    </w:p>
    <w:p>
      <w:pPr>
        <w:pStyle w:val="Author"/>
      </w:pPr>
      <w:r>
        <w:t xml:space="preserve">Simone Santoni</w:t>
      </w:r>
    </w:p>
    <w:p>
      <w:pPr>
        <w:pStyle w:val="Date"/>
      </w:pPr>
      <w:r>
        <w:t xml:space="preserve">2024-11-22</w:t>
      </w:r>
    </w:p>
    <w:p>
      <w:pPr>
        <w:pStyle w:val="AbstractTitle"/>
      </w:pPr>
      <w:r>
        <w:t xml:space="preserve">Synopsis</w:t>
      </w:r>
    </w:p>
    <w:p>
      <w:pPr>
        <w:pStyle w:val="Abstract"/>
      </w:pPr>
      <w:r>
        <w:t xml:space="preserve">This notebook illustrates two alternative final course projects for the SMM635 course.</w:t>
      </w:r>
    </w:p>
    <w:bookmarkStart w:id="21" w:name="sec-overview"/>
    <w:p>
      <w:pPr>
        <w:pStyle w:val="Heading1"/>
      </w:pPr>
      <w:r>
        <w:t xml:space="preserve">Overview of the Projects</w:t>
      </w:r>
    </w:p>
    <w:p>
      <w:pPr>
        <w:pStyle w:val="FirstParagraph"/>
      </w:pPr>
      <w:r>
        <w:t xml:space="preserve">Students are required to choose one of the two projects in</w:t>
      </w:r>
      <w:r>
        <w:t xml:space="preserve"> </w:t>
      </w:r>
      <w:hyperlink w:anchor="tbl-overview">
        <w:r>
          <w:rPr>
            <w:rStyle w:val="Hyperlink"/>
          </w:rPr>
          <w:t xml:space="preserve">Table 1</w:t>
        </w:r>
      </w:hyperlink>
      <w:r>
        <w:t xml:space="preserve">.</w:t>
      </w:r>
      <w:r>
        <w:t xml:space="preserve"> </w:t>
      </w:r>
      <w:hyperlink w:anchor="sec-project-1">
        <w:r>
          <w:rPr>
            <w:rStyle w:val="Hyperlink"/>
          </w:rPr>
          <w:t xml:space="preserve">Section 2</w:t>
        </w:r>
      </w:hyperlink>
      <w:r>
        <w:t xml:space="preserve"> </w:t>
      </w:r>
      <w:r>
        <w:t xml:space="preserve">and</w:t>
      </w:r>
      <w:r>
        <w:t xml:space="preserve"> </w:t>
      </w:r>
      <w:hyperlink w:anchor="sec-project-2">
        <w:r>
          <w:rPr>
            <w:rStyle w:val="Hyperlink"/>
          </w:rPr>
          <w:t xml:space="preserve">Section 3</w:t>
        </w:r>
      </w:hyperlink>
      <w:r>
        <w:t xml:space="preserve">, describe the individual projects’ context, data, and problems. Finally,</w:t>
      </w:r>
      <w:r>
        <w:t xml:space="preserve"> </w:t>
      </w:r>
      <w:hyperlink w:anchor="sec-template">
        <w:r>
          <w:rPr>
            <w:rStyle w:val="Hyperlink"/>
          </w:rPr>
          <w:t xml:space="preserve">Section 4</w:t>
        </w:r>
      </w:hyperlink>
      <w:r>
        <w:t xml:space="preserve"> </w:t>
      </w:r>
      <w:r>
        <w:t xml:space="preserve">describes the materials that students are expected to submit, irrespective of the chosen project.</w:t>
      </w:r>
    </w:p>
    <w:tbl>
      <w:tblPr>
        <w:tblStyle w:val="Table"/>
        <w:tblW w:type="pct" w:w="5000"/>
        <w:tblLayout w:type="fixed"/>
        <w:tblLook w:firstRow="0" w:lastRow="0" w:firstColumn="0" w:lastColumn="0" w:noHBand="0" w:noVBand="0" w:val="0000"/>
      </w:tblPr>
      <w:tblGrid>
        <w:gridCol w:w="7920"/>
      </w:tblGrid>
      <w:tr>
        <w:tc>
          <w:tcPr/>
          <w:bookmarkStart w:id="20" w:name="tbl-overview"/>
          <w:p>
            <w:pPr>
              <w:jc w:val="center"/>
            </w:pPr>
            <w:pPr>
              <w:jc w:val="start"/>
              <w:spacing w:before="200"/>
              <w:pStyle w:val="ImageCaption"/>
            </w:pPr>
            <w:r>
              <w:t xml:space="preserve">Table 1: Overview and key features of the two projects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Project</w:t>
                  </w:r>
                </w:p>
              </w:tc>
              <w:tc>
                <w:tcPr/>
                <w:p>
                  <w:pPr>
                    <w:pStyle w:val="Compact"/>
                    <w:jc w:val="left"/>
                    <w:jc w:val="center"/>
                  </w:pPr>
                  <w:r>
                    <w:t xml:space="preserve">Title</w:t>
                  </w:r>
                </w:p>
              </w:tc>
              <w:tc>
                <w:tcPr/>
                <w:p>
                  <w:pPr>
                    <w:pStyle w:val="Compact"/>
                    <w:jc w:val="left"/>
                    <w:jc w:val="center"/>
                  </w:pPr>
                  <w:r>
                    <w:t xml:space="preserve">Data domains</w:t>
                  </w:r>
                </w:p>
              </w:tc>
            </w:tr>
            <w:tr>
              <w:tc>
                <w:tcPr/>
                <w:p>
                  <w:pPr>
                    <w:pStyle w:val="Compact"/>
                    <w:jc w:val="center"/>
                    <w:jc w:val="center"/>
                  </w:pPr>
                  <w:r>
                    <w:t xml:space="preserve">1</w:t>
                  </w:r>
                </w:p>
              </w:tc>
              <w:tc>
                <w:tcPr/>
                <w:p>
                  <w:pPr>
                    <w:pStyle w:val="Compact"/>
                    <w:jc w:val="left"/>
                    <w:jc w:val="center"/>
                  </w:pPr>
                  <w:r>
                    <w:t xml:space="preserve">Equal employment opportunity</w:t>
                  </w:r>
                </w:p>
              </w:tc>
              <w:tc>
                <w:tcPr/>
                <w:p>
                  <w:pPr>
                    <w:pStyle w:val="Compact"/>
                    <w:jc w:val="left"/>
                    <w:jc w:val="center"/>
                  </w:pPr>
                  <w:r>
                    <w:t xml:space="preserve">Geospatial &amp; time-series</w:t>
                  </w:r>
                </w:p>
              </w:tc>
            </w:tr>
            <w:tr>
              <w:tc>
                <w:tcPr/>
                <w:p>
                  <w:pPr>
                    <w:pStyle w:val="Compact"/>
                    <w:jc w:val="center"/>
                    <w:jc w:val="center"/>
                  </w:pPr>
                  <w:r>
                    <w:t xml:space="preserve">2</w:t>
                  </w:r>
                </w:p>
              </w:tc>
              <w:tc>
                <w:tcPr/>
                <w:p>
                  <w:pPr>
                    <w:pStyle w:val="Compact"/>
                    <w:jc w:val="left"/>
                    <w:jc w:val="center"/>
                  </w:pPr>
                  <w:r>
                    <w:t xml:space="preserve">Platform economy</w:t>
                  </w:r>
                </w:p>
              </w:tc>
              <w:tc>
                <w:tcPr/>
                <w:p>
                  <w:pPr>
                    <w:pStyle w:val="Compact"/>
                    <w:jc w:val="left"/>
                    <w:jc w:val="center"/>
                  </w:pPr>
                  <w:r>
                    <w:t xml:space="preserve">Time series</w:t>
                  </w:r>
                </w:p>
              </w:tc>
            </w:tr>
          </w:tbl>
          <w:bookmarkEnd w:id="20"/>
          <w:p/>
        </w:tc>
      </w:tr>
    </w:tbl>
    <w:bookmarkEnd w:id="21"/>
    <w:bookmarkStart w:id="31" w:name="sec-project-1"/>
    <w:p>
      <w:pPr>
        <w:pStyle w:val="Heading1"/>
      </w:pPr>
      <w:r>
        <w:t xml:space="preserve">Project 1: Equal Employment Opportunity</w:t>
      </w:r>
    </w:p>
    <w:bookmarkStart w:id="23" w:name="contextual-information"/>
    <w:p>
      <w:pPr>
        <w:pStyle w:val="Heading2"/>
      </w:pPr>
      <w:r>
        <w:t xml:space="preserve">Contextual information</w:t>
      </w:r>
    </w:p>
    <w:p>
      <w:pPr>
        <w:pStyle w:val="FirstParagraph"/>
      </w:pPr>
      <w:r>
        <w:t xml:space="preserve">This project’s dataset contains a list of Industrial and Commercial Abatement Program (ICAP)</w:t>
      </w:r>
      <w:r>
        <w:rPr>
          <w:rStyle w:val="FootnoteReference"/>
        </w:rPr>
        <w:footnoteReference w:id="22"/>
      </w:r>
      <w:r>
        <w:t xml:space="preserve"> </w:t>
      </w:r>
      <w:r>
        <w:t xml:space="preserve">businesses that have successfully complied with Equal Employment Opportunity (EO50) requirements and have received EO50 certificate of approval from the NYC Department of Small Business Services (SBS). Executive Order No. 50 was established in 1980 during Mayor Koch’s tenure. It mandates that all contractors adhere to equal employment principles, explicitly prohibiting discriminatory hiring practices. This order safeguards individuals from discrimination based on ten protected categories: race, sex, creed, age, color, disability, national origin, marital status, sexual orientation, and citizenship status.</w:t>
      </w:r>
    </w:p>
    <w:bookmarkEnd w:id="23"/>
    <w:bookmarkStart w:id="28" w:name="data-description"/>
    <w:p>
      <w:pPr>
        <w:pStyle w:val="Heading2"/>
      </w:pPr>
      <w:r>
        <w:t xml:space="preserve">Data description</w:t>
      </w:r>
    </w:p>
    <w:p>
      <w:pPr>
        <w:pStyle w:val="FirstParagraph"/>
      </w:pPr>
      <w:r>
        <w:t xml:space="preserve">The dataset is stored in a CSV file named</w:t>
      </w:r>
      <w:r>
        <w:t xml:space="preserve"> </w:t>
      </w:r>
      <w:r>
        <w:rPr>
          <w:rStyle w:val="VerbatimChar"/>
        </w:rPr>
        <w:t xml:space="preserve">e050.csv</w:t>
      </w:r>
      <w:r>
        <w:t xml:space="preserve"> </w:t>
      </w:r>
      <w:r>
        <w:t xml:space="preserve">and contains 992 cases―i.e., businesses that have received the EO50 certificate―and 16 variables, including the timestamp of the EO50 approval date and location data. Below is a sample record from the dataset.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df1 </w:t>
      </w:r>
      <w:r>
        <w:rPr>
          <w:rStyle w:val="OperatorTok"/>
        </w:rPr>
        <w:t xml:space="preserve">=</w:t>
      </w:r>
      <w:r>
        <w:rPr>
          <w:rStyle w:val="NormalTok"/>
        </w:rPr>
        <w:t xml:space="preserve"> pd.read_csv(</w:t>
      </w:r>
      <w:r>
        <w:rPr>
          <w:rStyle w:val="StringTok"/>
        </w:rPr>
        <w:t xml:space="preserve">"data/e050.csv"</w:t>
      </w:r>
      <w:r>
        <w:rPr>
          <w:rStyle w:val="NormalTok"/>
        </w:rPr>
        <w:t xml:space="preserve">)</w:t>
      </w:r>
      <w:r>
        <w:br/>
      </w:r>
      <w:r>
        <w:rPr>
          <w:rStyle w:val="NormalTok"/>
        </w:rPr>
        <w:t xml:space="preserve">df1.head(</w:t>
      </w:r>
      <w:r>
        <w:rPr>
          <w:rStyle w:val="DecValTok"/>
        </w:rPr>
        <w:t xml:space="preserve">1</w:t>
      </w:r>
      <w:r>
        <w:rPr>
          <w:rStyle w:val="NormalTok"/>
        </w:rPr>
        <w:t xml:space="preserve">).T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0</w:t>
            </w:r>
          </w:p>
        </w:tc>
      </w:tr>
      <w:tr>
        <w:tc>
          <w:tcPr/>
          <w:p>
            <w:pPr>
              <w:pStyle w:val="Compact"/>
            </w:pPr>
            <w:r>
              <w:t xml:space="preserve">EO50 Approval Date</w:t>
            </w:r>
          </w:p>
        </w:tc>
        <w:tc>
          <w:tcPr/>
          <w:p>
            <w:pPr>
              <w:pStyle w:val="Compact"/>
            </w:pPr>
            <w:r>
              <w:t xml:space="preserve">06/02/2021 12:00:00 AM</w:t>
            </w:r>
          </w:p>
        </w:tc>
      </w:tr>
      <w:tr>
        <w:tc>
          <w:tcPr/>
          <w:p>
            <w:pPr>
              <w:pStyle w:val="Compact"/>
            </w:pPr>
            <w:r>
              <w:t xml:space="preserve">Business Name</w:t>
            </w:r>
          </w:p>
        </w:tc>
        <w:tc>
          <w:tcPr/>
          <w:p>
            <w:pPr>
              <w:pStyle w:val="Compact"/>
            </w:pPr>
            <w:r>
              <w:t xml:space="preserve">122 Fifth Associates LLC</w:t>
            </w:r>
          </w:p>
        </w:tc>
      </w:tr>
      <w:tr>
        <w:tc>
          <w:tcPr/>
          <w:p>
            <w:pPr>
              <w:pStyle w:val="Compact"/>
            </w:pPr>
            <w:r>
              <w:t xml:space="preserve">Business Address</w:t>
            </w:r>
          </w:p>
        </w:tc>
        <w:tc>
          <w:tcPr/>
          <w:p>
            <w:pPr>
              <w:pStyle w:val="Compact"/>
            </w:pPr>
            <w:r>
              <w:t xml:space="preserve">120 Fifth Avenue</w:t>
            </w:r>
          </w:p>
        </w:tc>
      </w:tr>
      <w:tr>
        <w:tc>
          <w:tcPr/>
          <w:p>
            <w:pPr>
              <w:pStyle w:val="Compact"/>
            </w:pPr>
            <w:r>
              <w:t xml:space="preserve">Business City</w:t>
            </w:r>
          </w:p>
        </w:tc>
        <w:tc>
          <w:tcPr/>
          <w:p>
            <w:pPr>
              <w:pStyle w:val="Compact"/>
            </w:pPr>
            <w:r>
              <w:t xml:space="preserve">New York</w:t>
            </w:r>
          </w:p>
        </w:tc>
      </w:tr>
      <w:tr>
        <w:tc>
          <w:tcPr/>
          <w:p>
            <w:pPr>
              <w:pStyle w:val="Compact"/>
            </w:pPr>
            <w:r>
              <w:t xml:space="preserve">Business State</w:t>
            </w:r>
          </w:p>
        </w:tc>
        <w:tc>
          <w:tcPr/>
          <w:p>
            <w:pPr>
              <w:pStyle w:val="Compact"/>
            </w:pPr>
            <w:r>
              <w:t xml:space="preserve">New York</w:t>
            </w:r>
          </w:p>
        </w:tc>
      </w:tr>
      <w:tr>
        <w:tc>
          <w:tcPr/>
          <w:p>
            <w:pPr>
              <w:pStyle w:val="Compact"/>
            </w:pPr>
            <w:r>
              <w:t xml:space="preserve">Business Phone</w:t>
            </w:r>
          </w:p>
        </w:tc>
        <w:tc>
          <w:tcPr/>
          <w:p>
            <w:pPr>
              <w:pStyle w:val="Compact"/>
            </w:pPr>
            <w:r>
              <w:t xml:space="preserve">646-630-8609</w:t>
            </w:r>
          </w:p>
        </w:tc>
      </w:tr>
      <w:tr>
        <w:tc>
          <w:tcPr/>
          <w:p>
            <w:pPr>
              <w:pStyle w:val="Compact"/>
            </w:pPr>
            <w:r>
              <w:t xml:space="preserve">Postcode</w:t>
            </w:r>
          </w:p>
        </w:tc>
        <w:tc>
          <w:tcPr/>
          <w:p>
            <w:pPr>
              <w:pStyle w:val="Compact"/>
            </w:pPr>
            <w:r>
              <w:t xml:space="preserve">10011</w:t>
            </w:r>
          </w:p>
        </w:tc>
      </w:tr>
      <w:tr>
        <w:tc>
          <w:tcPr/>
          <w:p>
            <w:pPr>
              <w:pStyle w:val="Compact"/>
            </w:pPr>
            <w:r>
              <w:t xml:space="preserve">Borough</w:t>
            </w:r>
          </w:p>
        </w:tc>
        <w:tc>
          <w:tcPr/>
          <w:p>
            <w:pPr>
              <w:pStyle w:val="Compact"/>
            </w:pPr>
            <w:r>
              <w:t xml:space="preserve">MANHATTAN</w:t>
            </w:r>
          </w:p>
        </w:tc>
      </w:tr>
      <w:tr>
        <w:tc>
          <w:tcPr/>
          <w:p>
            <w:pPr>
              <w:pStyle w:val="Compact"/>
            </w:pPr>
            <w:r>
              <w:t xml:space="preserve">Community Board</w:t>
            </w:r>
          </w:p>
        </w:tc>
        <w:tc>
          <w:tcPr/>
          <w:p>
            <w:pPr>
              <w:pStyle w:val="Compact"/>
            </w:pPr>
            <w:r>
              <w:t xml:space="preserve">105.0</w:t>
            </w:r>
          </w:p>
        </w:tc>
      </w:tr>
      <w:tr>
        <w:tc>
          <w:tcPr/>
          <w:p>
            <w:pPr>
              <w:pStyle w:val="Compact"/>
            </w:pPr>
            <w:r>
              <w:t xml:space="preserve">Latitude</w:t>
            </w:r>
          </w:p>
        </w:tc>
        <w:tc>
          <w:tcPr/>
          <w:p>
            <w:pPr>
              <w:pStyle w:val="Compact"/>
            </w:pPr>
            <w:r>
              <w:t xml:space="preserve">40.738077</w:t>
            </w:r>
          </w:p>
        </w:tc>
      </w:tr>
      <w:tr>
        <w:tc>
          <w:tcPr/>
          <w:p>
            <w:pPr>
              <w:pStyle w:val="Compact"/>
            </w:pPr>
            <w:r>
              <w:t xml:space="preserve">Longitude</w:t>
            </w:r>
          </w:p>
        </w:tc>
        <w:tc>
          <w:tcPr/>
          <w:p>
            <w:pPr>
              <w:pStyle w:val="Compact"/>
            </w:pPr>
            <w:r>
              <w:t xml:space="preserve">-73.992123</w:t>
            </w:r>
          </w:p>
        </w:tc>
      </w:tr>
      <w:tr>
        <w:tc>
          <w:tcPr/>
          <w:p>
            <w:pPr>
              <w:pStyle w:val="Compact"/>
            </w:pPr>
            <w:r>
              <w:t xml:space="preserve">Council District</w:t>
            </w:r>
          </w:p>
        </w:tc>
        <w:tc>
          <w:tcPr/>
          <w:p>
            <w:pPr>
              <w:pStyle w:val="Compact"/>
            </w:pPr>
            <w:r>
              <w:t xml:space="preserve">3.0</w:t>
            </w:r>
          </w:p>
        </w:tc>
      </w:tr>
      <w:tr>
        <w:tc>
          <w:tcPr/>
          <w:p>
            <w:pPr>
              <w:pStyle w:val="Compact"/>
            </w:pPr>
            <w:r>
              <w:t xml:space="preserve">BIN</w:t>
            </w:r>
          </w:p>
        </w:tc>
        <w:tc>
          <w:tcPr/>
          <w:p>
            <w:pPr>
              <w:pStyle w:val="Compact"/>
            </w:pPr>
            <w:r>
              <w:t xml:space="preserve">1015419.0</w:t>
            </w:r>
          </w:p>
        </w:tc>
      </w:tr>
      <w:tr>
        <w:tc>
          <w:tcPr/>
          <w:p>
            <w:pPr>
              <w:pStyle w:val="Compact"/>
            </w:pPr>
            <w:r>
              <w:t xml:space="preserve">BBL</w:t>
            </w:r>
          </w:p>
        </w:tc>
        <w:tc>
          <w:tcPr/>
          <w:p>
            <w:pPr>
              <w:pStyle w:val="Compact"/>
            </w:pPr>
            <w:r>
              <w:t xml:space="preserve">1008190037.0</w:t>
            </w:r>
          </w:p>
        </w:tc>
      </w:tr>
      <w:tr>
        <w:tc>
          <w:tcPr/>
          <w:p>
            <w:pPr>
              <w:pStyle w:val="Compact"/>
            </w:pPr>
            <w:r>
              <w:t xml:space="preserve">Census Tract (2020)</w:t>
            </w:r>
          </w:p>
        </w:tc>
        <w:tc>
          <w:tcPr/>
          <w:p>
            <w:pPr>
              <w:pStyle w:val="Compact"/>
            </w:pPr>
            <w:r>
              <w:t xml:space="preserve">54.0</w:t>
            </w:r>
          </w:p>
        </w:tc>
      </w:tr>
      <w:tr>
        <w:tc>
          <w:tcPr/>
          <w:p>
            <w:pPr>
              <w:pStyle w:val="Compact"/>
            </w:pPr>
            <w:r>
              <w:t xml:space="preserve">Neighborhood Tabulation Area (NTA) (2020)</w:t>
            </w:r>
          </w:p>
        </w:tc>
        <w:tc>
          <w:tcPr/>
          <w:p>
            <w:pPr>
              <w:pStyle w:val="Compact"/>
            </w:pPr>
            <w:r>
              <w:t xml:space="preserve">MN0501</w:t>
            </w:r>
          </w:p>
        </w:tc>
      </w:tr>
    </w:tbl>
    <w:p>
      <w:pPr>
        <w:pStyle w:val="BodyText"/>
      </w:pPr>
      <w:r>
        <w:t xml:space="preserve">The following bullet point list describes the individual variables:</w:t>
      </w:r>
    </w:p>
    <w:p>
      <w:pPr>
        <w:pStyle w:val="Compact"/>
        <w:numPr>
          <w:ilvl w:val="0"/>
          <w:numId w:val="1001"/>
        </w:numPr>
      </w:pPr>
      <w:r>
        <w:rPr>
          <w:b/>
          <w:bCs/>
        </w:rPr>
        <w:t xml:space="preserve">EO50 Approval Date</w:t>
      </w:r>
      <w:r>
        <w:t xml:space="preserve">: the date when the Business received EO50 certificate of approval from SBS (timestamp)</w:t>
      </w:r>
    </w:p>
    <w:p>
      <w:pPr>
        <w:pStyle w:val="Compact"/>
        <w:numPr>
          <w:ilvl w:val="0"/>
          <w:numId w:val="1001"/>
        </w:numPr>
      </w:pPr>
      <w:r>
        <w:rPr>
          <w:b/>
          <w:bCs/>
        </w:rPr>
        <w:t xml:space="preserve">Business Name</w:t>
      </w:r>
      <w:r>
        <w:t xml:space="preserve">: Business name of vendor recruiting Minority and/or Women-Owned Business Enterprise subcontractors (Text)</w:t>
      </w:r>
    </w:p>
    <w:p>
      <w:pPr>
        <w:pStyle w:val="Compact"/>
        <w:numPr>
          <w:ilvl w:val="0"/>
          <w:numId w:val="1001"/>
        </w:numPr>
      </w:pPr>
      <w:r>
        <w:rPr>
          <w:b/>
          <w:bCs/>
        </w:rPr>
        <w:t xml:space="preserve">Business Address</w:t>
      </w:r>
      <w:r>
        <w:t xml:space="preserve">: Address(es) of project site (text)</w:t>
      </w:r>
    </w:p>
    <w:p>
      <w:pPr>
        <w:pStyle w:val="Compact"/>
        <w:numPr>
          <w:ilvl w:val="0"/>
          <w:numId w:val="1001"/>
        </w:numPr>
      </w:pPr>
      <w:r>
        <w:rPr>
          <w:b/>
          <w:bCs/>
        </w:rPr>
        <w:t xml:space="preserve">Business City</w:t>
      </w:r>
      <w:r>
        <w:t xml:space="preserve">: City of project site</w:t>
      </w:r>
    </w:p>
    <w:p>
      <w:pPr>
        <w:pStyle w:val="Compact"/>
        <w:numPr>
          <w:ilvl w:val="0"/>
          <w:numId w:val="1001"/>
        </w:numPr>
      </w:pPr>
      <w:r>
        <w:rPr>
          <w:b/>
          <w:bCs/>
        </w:rPr>
        <w:t xml:space="preserve">Business State</w:t>
      </w:r>
      <w:r>
        <w:t xml:space="preserve">: State</w:t>
      </w:r>
    </w:p>
    <w:p>
      <w:pPr>
        <w:pStyle w:val="Compact"/>
        <w:numPr>
          <w:ilvl w:val="0"/>
          <w:numId w:val="1001"/>
        </w:numPr>
      </w:pPr>
      <w:r>
        <w:rPr>
          <w:b/>
          <w:bCs/>
        </w:rPr>
        <w:t xml:space="preserve">Business Phone</w:t>
      </w:r>
      <w:r>
        <w:t xml:space="preserve">: Phone number of primary contact of vendor recruiting Minority and/or Women-Owned Business Enterprise subcontractors</w:t>
      </w:r>
    </w:p>
    <w:p>
      <w:pPr>
        <w:pStyle w:val="Compact"/>
        <w:numPr>
          <w:ilvl w:val="0"/>
          <w:numId w:val="1001"/>
        </w:numPr>
      </w:pPr>
      <w:r>
        <w:rPr>
          <w:b/>
          <w:bCs/>
        </w:rPr>
        <w:t xml:space="preserve">Postcode</w:t>
      </w:r>
      <w:r>
        <w:t xml:space="preserve">: Zip code of site address(es)</w:t>
      </w:r>
    </w:p>
    <w:p>
      <w:pPr>
        <w:pStyle w:val="Compact"/>
        <w:numPr>
          <w:ilvl w:val="0"/>
          <w:numId w:val="1001"/>
        </w:numPr>
      </w:pPr>
      <w:r>
        <w:rPr>
          <w:b/>
          <w:bCs/>
        </w:rPr>
        <w:t xml:space="preserve">Borough</w:t>
      </w:r>
      <w:r>
        <w:t xml:space="preserve">: Borough in which the site is located&gt;</w:t>
      </w:r>
    </w:p>
    <w:p>
      <w:pPr>
        <w:pStyle w:val="Compact"/>
        <w:numPr>
          <w:ilvl w:val="0"/>
          <w:numId w:val="1001"/>
        </w:numPr>
      </w:pPr>
      <w:r>
        <w:rPr>
          <w:b/>
          <w:bCs/>
        </w:rPr>
        <w:t xml:space="preserve">Community Board</w:t>
      </w:r>
      <w:r>
        <w:t xml:space="preserve">: Community Board number</w:t>
      </w:r>
    </w:p>
    <w:p>
      <w:pPr>
        <w:pStyle w:val="Compact"/>
        <w:numPr>
          <w:ilvl w:val="0"/>
          <w:numId w:val="1001"/>
        </w:numPr>
      </w:pPr>
      <w:r>
        <w:rPr>
          <w:b/>
          <w:bCs/>
        </w:rPr>
        <w:t xml:space="preserve">Latitude</w:t>
      </w:r>
      <w:r>
        <w:t xml:space="preserve">: Latitude of the site’s location</w:t>
      </w:r>
    </w:p>
    <w:p>
      <w:pPr>
        <w:pStyle w:val="Compact"/>
        <w:numPr>
          <w:ilvl w:val="0"/>
          <w:numId w:val="1001"/>
        </w:numPr>
      </w:pPr>
      <w:r>
        <w:rPr>
          <w:b/>
          <w:bCs/>
        </w:rPr>
        <w:t xml:space="preserve">Longitude</w:t>
      </w:r>
      <w:r>
        <w:t xml:space="preserve">: Longitude of the site’s location</w:t>
      </w:r>
    </w:p>
    <w:p>
      <w:pPr>
        <w:pStyle w:val="Compact"/>
        <w:numPr>
          <w:ilvl w:val="0"/>
          <w:numId w:val="1001"/>
        </w:numPr>
      </w:pPr>
      <w:r>
        <w:rPr>
          <w:b/>
          <w:bCs/>
        </w:rPr>
        <w:t xml:space="preserve">Council District</w:t>
      </w:r>
      <w:r>
        <w:t xml:space="preserve">: The Council District field indicates the New York City Council District where the site is located</w:t>
      </w:r>
    </w:p>
    <w:p>
      <w:pPr>
        <w:pStyle w:val="Compact"/>
        <w:numPr>
          <w:ilvl w:val="0"/>
          <w:numId w:val="1001"/>
        </w:numPr>
      </w:pPr>
      <w:r>
        <w:rPr>
          <w:b/>
          <w:bCs/>
        </w:rPr>
        <w:t xml:space="preserve">BIN</w:t>
      </w:r>
      <w:r>
        <w:t xml:space="preserve">: The BIN (site Identification Number) is a unique identifier for each site in the City</w:t>
      </w:r>
    </w:p>
    <w:p>
      <w:pPr>
        <w:pStyle w:val="Compact"/>
        <w:numPr>
          <w:ilvl w:val="0"/>
          <w:numId w:val="1001"/>
        </w:numPr>
      </w:pPr>
      <w:r>
        <w:rPr>
          <w:b/>
          <w:bCs/>
        </w:rPr>
        <w:t xml:space="preserve">BBL</w:t>
      </w:r>
      <w:r>
        <w:t xml:space="preserve">: The BBL (Borough, Block, and Lot) is a unique identifier for each tax lot in the City</w:t>
      </w:r>
    </w:p>
    <w:p>
      <w:pPr>
        <w:pStyle w:val="Compact"/>
        <w:numPr>
          <w:ilvl w:val="0"/>
          <w:numId w:val="1001"/>
        </w:numPr>
      </w:pPr>
      <w:r>
        <w:rPr>
          <w:b/>
          <w:bCs/>
        </w:rPr>
        <w:t xml:space="preserve">Census Tract (2020)</w:t>
      </w:r>
      <w:r>
        <w:t xml:space="preserve">: The Census Tract (Census 2020) field indicates the U.S. Census Tract where the site is located. Please note that as part of the geocoding process, leading and trailing zeros are dropped</w:t>
      </w:r>
    </w:p>
    <w:p>
      <w:pPr>
        <w:pStyle w:val="Compact"/>
        <w:numPr>
          <w:ilvl w:val="0"/>
          <w:numId w:val="1001"/>
        </w:numPr>
      </w:pPr>
      <w:r>
        <w:rPr>
          <w:b/>
          <w:bCs/>
        </w:rPr>
        <w:t xml:space="preserve">Neighborhood Tabulation Area (NTA) (2020)</w:t>
      </w:r>
      <w:r>
        <w:t xml:space="preserve">: The Neighborhood Tabulation Area (Census 2020) field indicates the New York City Neighborhood area where the site is located</w:t>
      </w:r>
    </w:p>
    <w:p>
      <w:pPr>
        <w:pStyle w:val="FirstParagraph"/>
      </w:pPr>
      <w:hyperlink w:anchor="fig-certification">
        <w:r>
          <w:rPr>
            <w:rStyle w:val="Hyperlink"/>
          </w:rPr>
          <w:t xml:space="preserve">Figure 1</w:t>
        </w:r>
      </w:hyperlink>
      <w:r>
        <w:t xml:space="preserve"> </w:t>
      </w:r>
      <w:r>
        <w:t xml:space="preserve">shows the distribution of EO50 certificates over time.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df1.loc[:, </w:t>
      </w:r>
      <w:r>
        <w:rPr>
          <w:rStyle w:val="StringTok"/>
        </w:rPr>
        <w:t xml:space="preserve">"date"</w:t>
      </w:r>
      <w:r>
        <w:rPr>
          <w:rStyle w:val="NormalTok"/>
        </w:rPr>
        <w:t xml:space="preserve">] </w:t>
      </w:r>
      <w:r>
        <w:rPr>
          <w:rStyle w:val="OperatorTok"/>
        </w:rPr>
        <w:t xml:space="preserve">=</w:t>
      </w:r>
      <w:r>
        <w:rPr>
          <w:rStyle w:val="NormalTok"/>
        </w:rPr>
        <w:t xml:space="preserve"> pd.to_datetime(df1[</w:t>
      </w:r>
      <w:r>
        <w:rPr>
          <w:rStyle w:val="StringTok"/>
        </w:rPr>
        <w:t xml:space="preserve">"EO50 Approval Date"</w:t>
      </w:r>
      <w:r>
        <w:rPr>
          <w:rStyle w:val="NormalTok"/>
        </w:rPr>
        <w:t xml:space="preserve">])</w:t>
      </w:r>
      <w:r>
        <w:br/>
      </w:r>
      <w:r>
        <w:rPr>
          <w:rStyle w:val="NormalTok"/>
        </w:rPr>
        <w:t xml:space="preserve">df1[</w:t>
      </w:r>
      <w:r>
        <w:rPr>
          <w:rStyle w:val="StringTok"/>
        </w:rPr>
        <w:t xml:space="preserve">"month_year"</w:t>
      </w:r>
      <w:r>
        <w:rPr>
          <w:rStyle w:val="NormalTok"/>
        </w:rPr>
        <w:t xml:space="preserve">] </w:t>
      </w:r>
      <w:r>
        <w:rPr>
          <w:rStyle w:val="OperatorTok"/>
        </w:rPr>
        <w:t xml:space="preserve">=</w:t>
      </w:r>
      <w:r>
        <w:rPr>
          <w:rStyle w:val="NormalTok"/>
        </w:rPr>
        <w:t xml:space="preserve"> df1[</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gr </w:t>
      </w:r>
      <w:r>
        <w:rPr>
          <w:rStyle w:val="OperatorTok"/>
        </w:rPr>
        <w:t xml:space="preserve">=</w:t>
      </w:r>
      <w:r>
        <w:rPr>
          <w:rStyle w:val="NormalTok"/>
        </w:rPr>
        <w:t xml:space="preserve"> df1.groupby(</w:t>
      </w:r>
      <w:r>
        <w:rPr>
          <w:rStyle w:val="StringTok"/>
        </w:rPr>
        <w:t xml:space="preserve">"month_year"</w:t>
      </w:r>
      <w:r>
        <w:rPr>
          <w:rStyle w:val="NormalTok"/>
        </w:rPr>
        <w:t xml:space="preserve">)</w:t>
      </w:r>
      <w:r>
        <w:br/>
      </w:r>
      <w:r>
        <w:rPr>
          <w:rStyle w:val="NormalTok"/>
        </w:rPr>
        <w:t xml:space="preserve">ds </w:t>
      </w:r>
      <w:r>
        <w:rPr>
          <w:rStyle w:val="OperatorTok"/>
        </w:rPr>
        <w:t xml:space="preserve">=</w:t>
      </w:r>
      <w:r>
        <w:rPr>
          <w:rStyle w:val="NormalTok"/>
        </w:rPr>
        <w:t xml:space="preserve"> pd.DataFrame(gr.size().reset_index(name</w:t>
      </w:r>
      <w:r>
        <w:rPr>
          <w:rStyle w:val="OperatorTok"/>
        </w:rPr>
        <w:t xml:space="preserve">=</w:t>
      </w:r>
      <w:r>
        <w:rPr>
          <w:rStyle w:val="StringTok"/>
        </w:rPr>
        <w:t xml:space="preserve">"counts"</w:t>
      </w:r>
      <w:r>
        <w:rPr>
          <w:rStyle w:val="Normal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NormalTok"/>
        </w:rPr>
        <w:t xml:space="preserve">ax.plot(ds.index, ds[</w:t>
      </w:r>
      <w:r>
        <w:rPr>
          <w:rStyle w:val="StringTok"/>
        </w:rPr>
        <w:t xml:space="preserve">"counts"</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xticklabels </w:t>
      </w:r>
      <w:r>
        <w:rPr>
          <w:rStyle w:val="OperatorTok"/>
        </w:rPr>
        <w:t xml:space="preserve">=</w:t>
      </w:r>
      <w:r>
        <w:rPr>
          <w:rStyle w:val="NormalTok"/>
        </w:rPr>
        <w:t xml:space="preserve"> []</w:t>
      </w:r>
      <w:r>
        <w:br/>
      </w:r>
      <w:r>
        <w:rPr>
          <w:rStyle w:val="ControlFlowTok"/>
        </w:rPr>
        <w:t xml:space="preserve">for</w:t>
      </w:r>
      <w:r>
        <w:rPr>
          <w:rStyle w:val="NormalTok"/>
        </w:rPr>
        <w:t xml:space="preserve"> _ </w:t>
      </w:r>
      <w:r>
        <w:rPr>
          <w:rStyle w:val="KeywordTok"/>
        </w:rPr>
        <w:t xml:space="preserve">in</w:t>
      </w:r>
      <w:r>
        <w:rPr>
          <w:rStyle w:val="NormalTok"/>
        </w:rPr>
        <w:t xml:space="preserve"> ds[</w:t>
      </w:r>
      <w:r>
        <w:rPr>
          <w:rStyle w:val="StringTok"/>
        </w:rPr>
        <w:t xml:space="preserve">"month_year"</w:t>
      </w:r>
      <w:r>
        <w:rPr>
          <w:rStyle w:val="NormalTok"/>
        </w:rPr>
        <w:t xml:space="preserve">].astype(</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"-06"</w:t>
      </w:r>
      <w:r>
        <w:rPr>
          <w:rStyle w:val="NormalTok"/>
        </w:rPr>
        <w:t xml:space="preserve"> </w:t>
      </w:r>
      <w:r>
        <w:rPr>
          <w:rStyle w:val="KeywordTok"/>
        </w:rPr>
        <w:t xml:space="preserve">in</w:t>
      </w:r>
      <w:r>
        <w:rPr>
          <w:rStyle w:val="NormalTok"/>
        </w:rPr>
        <w:t xml:space="preserve"> _:</w:t>
      </w:r>
      <w:r>
        <w:br/>
      </w:r>
      <w:r>
        <w:rPr>
          <w:rStyle w:val="NormalTok"/>
        </w:rPr>
        <w:t xml:space="preserve">        xticklabels.append(_)</w:t>
      </w:r>
      <w:r>
        <w:br/>
      </w:r>
      <w:r>
        <w:rPr>
          <w:rStyle w:val="NormalTok"/>
        </w:rPr>
        <w:t xml:space="preserve">    </w:t>
      </w:r>
      <w:r>
        <w:rPr>
          <w:rStyle w:val="ControlFlowTok"/>
        </w:rPr>
        <w:t xml:space="preserve">else</w:t>
      </w:r>
      <w:r>
        <w:rPr>
          <w:rStyle w:val="NormalTok"/>
        </w:rPr>
        <w:t xml:space="preserve">:</w:t>
      </w:r>
      <w:r>
        <w:br/>
      </w:r>
      <w:r>
        <w:rPr>
          <w:rStyle w:val="NormalTok"/>
        </w:rPr>
        <w:t xml:space="preserve">        xticklabels.append(</w:t>
      </w:r>
      <w:r>
        <w:rPr>
          <w:rStyle w:val="StringTok"/>
        </w:rPr>
        <w:t xml:space="preserve">""</w:t>
      </w:r>
      <w:r>
        <w:rPr>
          <w:rStyle w:val="NormalTok"/>
        </w:rPr>
        <w:t xml:space="preserve">)</w:t>
      </w:r>
      <w:r>
        <w:br/>
      </w:r>
      <w:r>
        <w:rPr>
          <w:rStyle w:val="NormalTok"/>
        </w:rPr>
        <w:t xml:space="preserve">ax.set_xticks(ds.index)</w:t>
      </w:r>
      <w:r>
        <w:br/>
      </w:r>
      <w:r>
        <w:rPr>
          <w:rStyle w:val="NormalTok"/>
        </w:rPr>
        <w:t xml:space="preserve">ax.set_xticklabels(xticklabels, rotation</w:t>
      </w:r>
      <w:r>
        <w:rPr>
          <w:rStyle w:val="OperatorTok"/>
        </w:rPr>
        <w:t xml:space="preserve">=</w:t>
      </w:r>
      <w:r>
        <w:rPr>
          <w:rStyle w:val="DecValTok"/>
        </w:rPr>
        <w:t xml:space="preserve">45</w:t>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ax.set_ylabel(</w:t>
      </w:r>
      <w:r>
        <w:rPr>
          <w:rStyle w:val="StringTok"/>
        </w:rPr>
        <w:t xml:space="preserve">"Counts of EO50 certificates"</w:t>
      </w:r>
      <w:r>
        <w:rPr>
          <w:rStyle w:val="NormalTok"/>
        </w:rPr>
        <w:t xml:space="preserve">)</w:t>
      </w:r>
      <w:r>
        <w:br/>
      </w:r>
      <w:r>
        <w:rPr>
          <w:rStyle w:val="NormalTok"/>
        </w:rPr>
        <w:t xml:space="preserve">ax.grid(</w:t>
      </w:r>
      <w:r>
        <w:rPr>
          <w:rStyle w:val="VariableTok"/>
        </w:rPr>
        <w:t xml:space="preserve">True</w:t>
      </w:r>
      <w:r>
        <w:rPr>
          <w:rStyle w:val="NormalTok"/>
        </w:rPr>
        <w:t xml:space="preserve">, which</w:t>
      </w:r>
      <w:r>
        <w:rPr>
          <w:rStyle w:val="OperatorTok"/>
        </w:rPr>
        <w:t xml:space="preserve">=</w:t>
      </w:r>
      <w:r>
        <w:rPr>
          <w:rStyle w:val="StringTok"/>
        </w:rPr>
        <w:t xml:space="preserve">"major"</w:t>
      </w:r>
      <w:r>
        <w:rPr>
          <w:rStyle w:val="NormalTok"/>
        </w:rPr>
        <w:t xml:space="preserve">, 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 w:name="fig-certification"/>
          <w:p>
            <w:pPr>
              <w:pStyle w:val="Compact"/>
              <w:jc w:val="center"/>
            </w:pPr>
            <w:r>
              <w:drawing>
                <wp:inline>
                  <wp:extent cx="5334000" cy="3014518"/>
                  <wp:effectExtent b="0" l="0" r="0" t="0"/>
                  <wp:docPr descr="" title="" id="25" name="Picture"/>
                  <a:graphic>
                    <a:graphicData uri="http://schemas.openxmlformats.org/drawingml/2006/picture">
                      <pic:pic>
                        <pic:nvPicPr>
                          <pic:cNvPr descr="fcp_files/figure-docx/fig-certification-output-1.png" id="26" name="Picture"/>
                          <pic:cNvPicPr>
                            <a:picLocks noChangeArrowheads="1" noChangeAspect="1"/>
                          </pic:cNvPicPr>
                        </pic:nvPicPr>
                        <pic:blipFill>
                          <a:blip r:embed="rId24"/>
                          <a:stretch>
                            <a:fillRect/>
                          </a:stretch>
                        </pic:blipFill>
                        <pic:spPr bwMode="auto">
                          <a:xfrm>
                            <a:off x="0" y="0"/>
                            <a:ext cx="5334000" cy="30145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EO50 certificates over time</w:t>
            </w:r>
          </w:p>
          <w:bookmarkEnd w:id="27"/>
        </w:tc>
      </w:tr>
    </w:tbl>
    <w:bookmarkEnd w:id="28"/>
    <w:bookmarkStart w:id="30" w:name="data-visualization-problem"/>
    <w:p>
      <w:pPr>
        <w:pStyle w:val="Heading2"/>
      </w:pPr>
      <w:r>
        <w:t xml:space="preserve">Data visualization problem</w:t>
      </w:r>
    </w:p>
    <w:p>
      <w:pPr>
        <w:pStyle w:val="FirstParagraph"/>
      </w:pPr>
      <w:r>
        <w:t xml:space="preserve">Create two (2) plots showing the diffusion of EO50 certificates across NYC areas and over time. You may want to consider a few demographic or socio-economic indicators (e.g., borough-level indicators) to provide a more nuanced interpretation of the EO50 diffusion pattern.</w:t>
      </w:r>
      <w:r>
        <w:t xml:space="preserve"> </w:t>
      </w:r>
      <w:hyperlink r:id="rId29">
        <w:r>
          <w:rPr>
            <w:rStyle w:val="Hyperlink"/>
          </w:rPr>
          <w:t xml:space="preserve">NYC OpenData</w:t>
        </w:r>
      </w:hyperlink>
      <w:r>
        <w:t xml:space="preserve"> </w:t>
      </w:r>
      <w:r>
        <w:t xml:space="preserve">provides a wealth of datasets that you can use to efficiently and effectively enrich the analysis. Then, discuss the main business/policy insight(s) that can be drawn from the plots you created.</w:t>
      </w:r>
    </w:p>
    <w:bookmarkEnd w:id="30"/>
    <w:bookmarkEnd w:id="31"/>
    <w:bookmarkStart w:id="41" w:name="sec-project-2"/>
    <w:p>
      <w:pPr>
        <w:pStyle w:val="Heading1"/>
      </w:pPr>
      <w:r>
        <w:t xml:space="preserve">Project 2: Platform Economy</w:t>
      </w:r>
    </w:p>
    <w:bookmarkStart w:id="32" w:name="contextual-information-1"/>
    <w:p>
      <w:pPr>
        <w:pStyle w:val="Heading2"/>
      </w:pPr>
      <w:r>
        <w:t xml:space="preserve">Contextual information</w:t>
      </w:r>
    </w:p>
    <w:p>
      <w:pPr>
        <w:pStyle w:val="FirstParagraph"/>
      </w:pPr>
      <w:r>
        <w:t xml:space="preserve">The platform economy has transformed the way people work, consume, and interact with each other. Platforms like Uber, Lyft, Airbnb, and TaskRabbit have disrupted traditional industries and created new opportunities for workers and consumers. However, platform businesses may affect non-related markets in unexpected ways. This project emphasizes a regulatory change that affected the ride-sharing industry in Austin, Texas, and its impact on the local restaurant industry, and, possibly, local restaurants.</w:t>
      </w:r>
    </w:p>
    <w:p>
      <w:pPr>
        <w:pStyle w:val="BodyText"/>
      </w:pPr>
      <w:r>
        <w:t xml:space="preserve">In 2016 and 2017, Uber and Lyft temporarily ceased operations in Austin, Texas, due to a dispute over local regulations governing ride-sharing services.</w:t>
      </w:r>
      <w:r>
        <w:t xml:space="preserve"> </w:t>
      </w:r>
      <w:r>
        <w:t xml:space="preserve">In December 2015, Austin City Council passed an ordinance requiring ride-sharing companies like Uber and Lyft to:</w:t>
      </w:r>
    </w:p>
    <w:p>
      <w:pPr>
        <w:pStyle w:val="Compact"/>
        <w:numPr>
          <w:ilvl w:val="0"/>
          <w:numId w:val="1002"/>
        </w:numPr>
      </w:pPr>
      <w:r>
        <w:t xml:space="preserve">Conduct fingerprint-based background checks on their drivers (similar to those required for taxi drivers)</w:t>
      </w:r>
    </w:p>
    <w:p>
      <w:pPr>
        <w:pStyle w:val="Compact"/>
        <w:numPr>
          <w:ilvl w:val="0"/>
          <w:numId w:val="1002"/>
        </w:numPr>
      </w:pPr>
      <w:r>
        <w:t xml:space="preserve">Restrict pick-up and drop-off locations in certain areas</w:t>
      </w:r>
    </w:p>
    <w:p>
      <w:pPr>
        <w:pStyle w:val="Compact"/>
        <w:numPr>
          <w:ilvl w:val="0"/>
          <w:numId w:val="1002"/>
        </w:numPr>
      </w:pPr>
      <w:r>
        <w:t xml:space="preserve">Collect data and adhere to other safety and operational standards</w:t>
      </w:r>
    </w:p>
    <w:p>
      <w:pPr>
        <w:pStyle w:val="FirstParagraph"/>
      </w:pPr>
      <w:r>
        <w:t xml:space="preserve">Uber and Lyft objected to the fingerprint requirement, arguing that their own background checks were sufficient and that fingerprinting was unnecessarily burdensome, potentially deterring drivers from signing up.</w:t>
      </w:r>
    </w:p>
    <w:p>
      <w:pPr>
        <w:pStyle w:val="BodyText"/>
      </w:pPr>
      <w:r>
        <w:t xml:space="preserve">In response to the ordinance, Uber and Lyft, along with their supporters, gathered enough signatures to trigger a public referendum (Proposition 1) in May 2016, hoping to overturn the city’s regulations. Outcome: Proposition 1 was defeated, with approximately 56% of Austin voters choosing to uphold the city’s regulations. Impact: Following the vote, both Uber and Lyft announced that they would suspend operations in Austin, effective May 9, 2016.</w:t>
      </w:r>
    </w:p>
    <w:p>
      <w:pPr>
        <w:pStyle w:val="BodyText"/>
      </w:pPr>
      <w:r>
        <w:t xml:space="preserve">However, many residents expressed frustration with the lack of options and higher prices compared to the services provided by Uber and Lyft. The absence of the two giants also created logistical challenges for large-scale events like SXSW and the Austin City Limits music festival.</w:t>
      </w:r>
    </w:p>
    <w:p>
      <w:pPr>
        <w:pStyle w:val="BodyText"/>
      </w:pPr>
      <w:r>
        <w:t xml:space="preserve">In May 2017, the Texas Legislature passed House Bill 100, a statewide law that overrode local ride-sharing regulations and established uniform rules across Texas. Notably, the new law removed the requirement for fingerprint-based background check and gave regulatory authority over ride-sharing companies to the state rather than individual cities. With this new statewide framework, Uber and Lyft resumed operations in Austin soon after the bill was signed into law.</w:t>
      </w:r>
    </w:p>
    <w:bookmarkEnd w:id="32"/>
    <w:bookmarkStart w:id="39" w:name="data-description-1"/>
    <w:p>
      <w:pPr>
        <w:pStyle w:val="Heading2"/>
      </w:pPr>
      <w:r>
        <w:t xml:space="preserve">Data description</w:t>
      </w:r>
    </w:p>
    <w:p>
      <w:pPr>
        <w:pStyle w:val="FirstParagraph"/>
      </w:pPr>
      <w:r>
        <w:t xml:space="preserve">This project comprises two data-tables,</w:t>
      </w:r>
      <w:r>
        <w:t xml:space="preserve"> </w:t>
      </w:r>
      <w:r>
        <w:rPr>
          <w:rStyle w:val="VerbatimChar"/>
        </w:rPr>
        <w:t xml:space="preserve">platform_economy_reviews.csv</w:t>
      </w:r>
      <w:r>
        <w:t xml:space="preserve"> </w:t>
      </w:r>
      <w:r>
        <w:t xml:space="preserve">and</w:t>
      </w:r>
      <w:r>
        <w:t xml:space="preserve"> </w:t>
      </w:r>
      <w:r>
        <w:rPr>
          <w:rStyle w:val="VerbatimChar"/>
        </w:rPr>
        <w:t xml:space="preserve">platform_economy_restaurants.csv</w:t>
      </w:r>
      <w:r>
        <w:t xml:space="preserve">. The former contains restaurant review tone, while the latter contains restaurant workers’ career spells.</w:t>
      </w:r>
    </w:p>
    <w:bookmarkStart w:id="37" w:name="reviews"/>
    <w:p>
      <w:pPr>
        <w:pStyle w:val="Heading3"/>
      </w:pPr>
      <w:r>
        <w:t xml:space="preserve">Reviews</w:t>
      </w:r>
    </w:p>
    <w:p>
      <w:pPr>
        <w:pStyle w:val="FirstParagraph"/>
      </w:pPr>
      <w:r>
        <w:t xml:space="preserve">The data-table</w:t>
      </w:r>
      <w:r>
        <w:t xml:space="preserve"> </w:t>
      </w:r>
      <w:r>
        <w:rPr>
          <w:rStyle w:val="VerbatimChar"/>
        </w:rPr>
        <w:t xml:space="preserve">platform_economy_reviews.csv</w:t>
      </w:r>
      <w:r>
        <w:t xml:space="preserve"> </w:t>
      </w:r>
      <w:r>
        <w:t xml:space="preserve">contains 58,227 reviews regarding a sample of 1,107 restaurants in Texas. Below is the codebook for the dataset:</w:t>
      </w:r>
    </w:p>
    <w:p>
      <w:pPr>
        <w:pStyle w:val="Compact"/>
        <w:numPr>
          <w:ilvl w:val="0"/>
          <w:numId w:val="1003"/>
        </w:numPr>
      </w:pPr>
      <w:r>
        <w:rPr>
          <w:b/>
          <w:bCs/>
        </w:rPr>
        <w:t xml:space="preserve">id</w:t>
      </w:r>
      <w:r>
        <w:t xml:space="preserve"> </w:t>
      </w:r>
      <w:r>
        <w:t xml:space="preserve">: Restaurant numeric identifier</w:t>
      </w:r>
    </w:p>
    <w:p>
      <w:pPr>
        <w:pStyle w:val="Compact"/>
        <w:numPr>
          <w:ilvl w:val="0"/>
          <w:numId w:val="1003"/>
        </w:numPr>
      </w:pPr>
      <w:r>
        <w:rPr>
          <w:b/>
          <w:bCs/>
        </w:rPr>
        <w:t xml:space="preserve">yelp_tier</w:t>
      </w:r>
      <w:r>
        <w:t xml:space="preserve"> </w:t>
      </w:r>
      <w:r>
        <w:t xml:space="preserve">: The tier of the restaurant according to Yelp (in</w:t>
      </w:r>
      <w:r>
        <w:t xml:space="preserve"> </w:t>
      </w:r>
      <w:r>
        <w:t xml:space="preserve">“$”</w:t>
      </w:r>
      <w:r>
        <w:t xml:space="preserve">)</w:t>
      </w:r>
    </w:p>
    <w:p>
      <w:pPr>
        <w:pStyle w:val="Compact"/>
        <w:numPr>
          <w:ilvl w:val="0"/>
          <w:numId w:val="1003"/>
        </w:numPr>
      </w:pPr>
      <w:r>
        <w:rPr>
          <w:b/>
          <w:bCs/>
        </w:rPr>
        <w:t xml:space="preserve">time</w:t>
      </w:r>
      <w:r>
        <w:t xml:space="preserve">: Review timestamp in</w:t>
      </w:r>
      <w:r>
        <w:t xml:space="preserve"> </w:t>
      </w:r>
      <w:r>
        <w:t xml:space="preserve">“YYYY-MM”</w:t>
      </w:r>
      <w:r>
        <w:t xml:space="preserve"> </w:t>
      </w:r>
      <w:r>
        <w:t xml:space="preserve">format</w:t>
      </w:r>
    </w:p>
    <w:p>
      <w:pPr>
        <w:pStyle w:val="Compact"/>
        <w:numPr>
          <w:ilvl w:val="0"/>
          <w:numId w:val="1003"/>
        </w:numPr>
      </w:pPr>
      <w:r>
        <w:rPr>
          <w:b/>
          <w:bCs/>
        </w:rPr>
        <w:t xml:space="preserve">bad_service</w:t>
      </w:r>
      <w:r>
        <w:t xml:space="preserve">: Percentage of month</w:t>
      </w:r>
      <w:r>
        <w:t xml:space="preserve"> </w:t>
      </w:r>
      <m:oMath>
        <m:r>
          <m:t>t</m:t>
        </m:r>
      </m:oMath>
      <w:r>
        <w:t xml:space="preserve"> </w:t>
      </w:r>
      <w:r>
        <w:t xml:space="preserve">Yelp reviews that were negative about the service This measure was achieved by training an aspect-based (i.e., service-based) sentiment classifier on the corpus 58,227 reviews</w:t>
      </w:r>
    </w:p>
    <w:p>
      <w:pPr>
        <w:pStyle w:val="Compact"/>
        <w:numPr>
          <w:ilvl w:val="0"/>
          <w:numId w:val="1003"/>
        </w:numPr>
      </w:pPr>
      <w:r>
        <w:rPr>
          <w:b/>
          <w:bCs/>
        </w:rPr>
        <w:t xml:space="preserve">bad_food</w:t>
      </w:r>
      <w:r>
        <w:t xml:space="preserve">: Percentage of month</w:t>
      </w:r>
      <w:r>
        <w:t xml:space="preserve"> </w:t>
      </w:r>
      <m:oMath>
        <m:r>
          <m:t>t</m:t>
        </m:r>
      </m:oMath>
      <w:r>
        <w:t xml:space="preserve"> </w:t>
      </w:r>
      <w:r>
        <w:t xml:space="preserve">Yelp reviews that were negative about the food. This measure was achieved by training an aspect-based (i.e., food-based) sentiment classifier on the corpus 58,227 reviews</w:t>
      </w:r>
    </w:p>
    <w:p>
      <w:pPr>
        <w:pStyle w:val="Compact"/>
        <w:numPr>
          <w:ilvl w:val="0"/>
          <w:numId w:val="1003"/>
        </w:numPr>
      </w:pPr>
      <w:r>
        <w:rPr>
          <w:b/>
          <w:bCs/>
        </w:rPr>
        <w:t xml:space="preserve">location</w:t>
      </w:r>
      <w:r>
        <w:t xml:space="preserve">: Restaurant location (either Austin or Dallas)</w:t>
      </w:r>
    </w:p>
    <w:p>
      <w:pPr>
        <w:pStyle w:val="SourceCode"/>
      </w:pPr>
      <w:r>
        <w:rPr>
          <w:rStyle w:val="NormalTok"/>
        </w:rPr>
        <w:t xml:space="preserve">df2 </w:t>
      </w:r>
      <w:r>
        <w:rPr>
          <w:rStyle w:val="OperatorTok"/>
        </w:rPr>
        <w:t xml:space="preserve">=</w:t>
      </w:r>
      <w:r>
        <w:rPr>
          <w:rStyle w:val="NormalTok"/>
        </w:rPr>
        <w:t xml:space="preserve"> pd.read_csv(</w:t>
      </w:r>
      <w:r>
        <w:rPr>
          <w:rStyle w:val="StringTok"/>
        </w:rPr>
        <w:t xml:space="preserve">"data/platform_economy_reviews.csv"</w:t>
      </w:r>
      <w:r>
        <w:rPr>
          <w:rStyle w:val="NormalTok"/>
        </w:rPr>
        <w:t xml:space="preserve">)</w:t>
      </w:r>
      <w:r>
        <w:br/>
      </w:r>
      <w:r>
        <w:rPr>
          <w:rStyle w:val="NormalTok"/>
        </w:rPr>
        <w:t xml:space="preserve">df2.head()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id</w:t>
            </w:r>
          </w:p>
        </w:tc>
        <w:tc>
          <w:tcPr/>
          <w:p>
            <w:pPr>
              <w:pStyle w:val="Compact"/>
            </w:pPr>
            <w:r>
              <w:t xml:space="preserve">yelp_review</w:t>
            </w:r>
          </w:p>
        </w:tc>
        <w:tc>
          <w:tcPr/>
          <w:p>
            <w:pPr>
              <w:pStyle w:val="Compact"/>
            </w:pPr>
            <w:r>
              <w:t xml:space="preserve">time</w:t>
            </w:r>
          </w:p>
        </w:tc>
        <w:tc>
          <w:tcPr/>
          <w:p>
            <w:pPr>
              <w:pStyle w:val="Compact"/>
            </w:pPr>
            <w:r>
              <w:t xml:space="preserve">bad_service</w:t>
            </w:r>
          </w:p>
        </w:tc>
        <w:tc>
          <w:tcPr/>
          <w:p>
            <w:pPr>
              <w:pStyle w:val="Compact"/>
            </w:pPr>
            <w:r>
              <w:t xml:space="preserve">bad_food</w:t>
            </w:r>
          </w:p>
        </w:tc>
        <w:tc>
          <w:tcPr/>
          <w:p>
            <w:pPr>
              <w:pStyle w:val="Compact"/>
            </w:pPr>
            <w:r>
              <w:t xml:space="preserve">location</w:t>
            </w:r>
          </w:p>
        </w:tc>
      </w:tr>
      <w:tr>
        <w:tc>
          <w:tcPr/>
          <w:p>
            <w:pPr>
              <w:pStyle w:val="Compact"/>
            </w:pPr>
            <w:r>
              <w:t xml:space="preserve">0</w:t>
            </w:r>
          </w:p>
        </w:tc>
        <w:tc>
          <w:tcPr/>
          <w:p>
            <w:pPr>
              <w:pStyle w:val="Compact"/>
            </w:pPr>
            <w:r>
              <w:t xml:space="preserve">13</w:t>
            </w:r>
          </w:p>
        </w:tc>
        <w:tc>
          <w:tcPr/>
          <w:p>
            <w:pPr>
              <w:pStyle w:val="Compact"/>
            </w:pPr>
            <w:r>
              <w:t xml:space="preserve">$$</w:t>
            </w:r>
          </w:p>
        </w:tc>
        <w:tc>
          <w:tcPr/>
          <w:p>
            <w:pPr>
              <w:pStyle w:val="Compact"/>
            </w:pPr>
            <w:r>
              <w:t xml:space="preserve">2014-05</w:t>
            </w:r>
          </w:p>
        </w:tc>
        <w:tc>
          <w:tcPr/>
          <w:p>
            <w:pPr>
              <w:pStyle w:val="Compact"/>
            </w:pPr>
            <w:r>
              <w:t xml:space="preserve">0.500000</w:t>
            </w:r>
          </w:p>
        </w:tc>
        <w:tc>
          <w:tcPr/>
          <w:p>
            <w:pPr>
              <w:pStyle w:val="Compact"/>
            </w:pPr>
            <w:r>
              <w:t xml:space="preserve">0.300000</w:t>
            </w:r>
          </w:p>
        </w:tc>
        <w:tc>
          <w:tcPr/>
          <w:p>
            <w:pPr>
              <w:pStyle w:val="Compact"/>
            </w:pPr>
            <w:r>
              <w:t xml:space="preserve">austin</w:t>
            </w:r>
          </w:p>
        </w:tc>
      </w:tr>
      <w:tr>
        <w:tc>
          <w:tcPr/>
          <w:p>
            <w:pPr>
              <w:pStyle w:val="Compact"/>
            </w:pPr>
            <w:r>
              <w:t xml:space="preserve">1</w:t>
            </w:r>
          </w:p>
        </w:tc>
        <w:tc>
          <w:tcPr/>
          <w:p>
            <w:pPr>
              <w:pStyle w:val="Compact"/>
            </w:pPr>
            <w:r>
              <w:t xml:space="preserve">13</w:t>
            </w:r>
          </w:p>
        </w:tc>
        <w:tc>
          <w:tcPr/>
          <w:p>
            <w:pPr>
              <w:pStyle w:val="Compact"/>
            </w:pPr>
            <w:r>
              <w:t xml:space="preserve">$$</w:t>
            </w:r>
          </w:p>
        </w:tc>
        <w:tc>
          <w:tcPr/>
          <w:p>
            <w:pPr>
              <w:pStyle w:val="Compact"/>
            </w:pPr>
            <w:r>
              <w:t xml:space="preserve">2014-06</w:t>
            </w:r>
          </w:p>
        </w:tc>
        <w:tc>
          <w:tcPr/>
          <w:p>
            <w:pPr>
              <w:pStyle w:val="Compact"/>
            </w:pPr>
            <w:r>
              <w:t xml:space="preserve">0.600000</w:t>
            </w:r>
          </w:p>
        </w:tc>
        <w:tc>
          <w:tcPr/>
          <w:p>
            <w:pPr>
              <w:pStyle w:val="Compact"/>
            </w:pPr>
            <w:r>
              <w:t xml:space="preserve">0.000000</w:t>
            </w:r>
          </w:p>
        </w:tc>
        <w:tc>
          <w:tcPr/>
          <w:p>
            <w:pPr>
              <w:pStyle w:val="Compact"/>
            </w:pPr>
            <w:r>
              <w:t xml:space="preserve">austin</w:t>
            </w:r>
          </w:p>
        </w:tc>
      </w:tr>
      <w:tr>
        <w:tc>
          <w:tcPr/>
          <w:p>
            <w:pPr>
              <w:pStyle w:val="Compact"/>
            </w:pPr>
            <w:r>
              <w:t xml:space="preserve">2</w:t>
            </w:r>
          </w:p>
        </w:tc>
        <w:tc>
          <w:tcPr/>
          <w:p>
            <w:pPr>
              <w:pStyle w:val="Compact"/>
            </w:pPr>
            <w:r>
              <w:t xml:space="preserve">13</w:t>
            </w:r>
          </w:p>
        </w:tc>
        <w:tc>
          <w:tcPr/>
          <w:p>
            <w:pPr>
              <w:pStyle w:val="Compact"/>
            </w:pPr>
            <w:r>
              <w:t xml:space="preserve">$$</w:t>
            </w:r>
          </w:p>
        </w:tc>
        <w:tc>
          <w:tcPr/>
          <w:p>
            <w:pPr>
              <w:pStyle w:val="Compact"/>
            </w:pPr>
            <w:r>
              <w:t xml:space="preserve">2014-07</w:t>
            </w:r>
          </w:p>
        </w:tc>
        <w:tc>
          <w:tcPr/>
          <w:p>
            <w:pPr>
              <w:pStyle w:val="Compact"/>
            </w:pPr>
            <w:r>
              <w:t xml:space="preserve">0.375000</w:t>
            </w:r>
          </w:p>
        </w:tc>
        <w:tc>
          <w:tcPr/>
          <w:p>
            <w:pPr>
              <w:pStyle w:val="Compact"/>
            </w:pPr>
            <w:r>
              <w:t xml:space="preserve">0.375000</w:t>
            </w:r>
          </w:p>
        </w:tc>
        <w:tc>
          <w:tcPr/>
          <w:p>
            <w:pPr>
              <w:pStyle w:val="Compact"/>
            </w:pPr>
            <w:r>
              <w:t xml:space="preserve">austin</w:t>
            </w:r>
          </w:p>
        </w:tc>
      </w:tr>
      <w:tr>
        <w:tc>
          <w:tcPr/>
          <w:p>
            <w:pPr>
              <w:pStyle w:val="Compact"/>
            </w:pPr>
            <w:r>
              <w:t xml:space="preserve">3</w:t>
            </w:r>
          </w:p>
        </w:tc>
        <w:tc>
          <w:tcPr/>
          <w:p>
            <w:pPr>
              <w:pStyle w:val="Compact"/>
            </w:pPr>
            <w:r>
              <w:t xml:space="preserve">13</w:t>
            </w:r>
          </w:p>
        </w:tc>
        <w:tc>
          <w:tcPr/>
          <w:p>
            <w:pPr>
              <w:pStyle w:val="Compact"/>
            </w:pPr>
            <w:r>
              <w:t xml:space="preserve">$$</w:t>
            </w:r>
          </w:p>
        </w:tc>
        <w:tc>
          <w:tcPr/>
          <w:p>
            <w:pPr>
              <w:pStyle w:val="Compact"/>
            </w:pPr>
            <w:r>
              <w:t xml:space="preserve">2014-08</w:t>
            </w:r>
          </w:p>
        </w:tc>
        <w:tc>
          <w:tcPr/>
          <w:p>
            <w:pPr>
              <w:pStyle w:val="Compact"/>
            </w:pPr>
            <w:r>
              <w:t xml:space="preserve">0.285714</w:t>
            </w:r>
          </w:p>
        </w:tc>
        <w:tc>
          <w:tcPr/>
          <w:p>
            <w:pPr>
              <w:pStyle w:val="Compact"/>
            </w:pPr>
            <w:r>
              <w:t xml:space="preserve">0.142857</w:t>
            </w:r>
          </w:p>
        </w:tc>
        <w:tc>
          <w:tcPr/>
          <w:p>
            <w:pPr>
              <w:pStyle w:val="Compact"/>
            </w:pPr>
            <w:r>
              <w:t xml:space="preserve">austin</w:t>
            </w:r>
          </w:p>
        </w:tc>
      </w:tr>
      <w:tr>
        <w:tc>
          <w:tcPr/>
          <w:p>
            <w:pPr>
              <w:pStyle w:val="Compact"/>
            </w:pPr>
            <w:r>
              <w:t xml:space="preserve">4</w:t>
            </w:r>
          </w:p>
        </w:tc>
        <w:tc>
          <w:tcPr/>
          <w:p>
            <w:pPr>
              <w:pStyle w:val="Compact"/>
            </w:pPr>
            <w:r>
              <w:t xml:space="preserve">13</w:t>
            </w:r>
          </w:p>
        </w:tc>
        <w:tc>
          <w:tcPr/>
          <w:p>
            <w:pPr>
              <w:pStyle w:val="Compact"/>
            </w:pPr>
            <w:r>
              <w:t xml:space="preserve">$$</w:t>
            </w:r>
          </w:p>
        </w:tc>
        <w:tc>
          <w:tcPr/>
          <w:p>
            <w:pPr>
              <w:pStyle w:val="Compact"/>
            </w:pPr>
            <w:r>
              <w:t xml:space="preserve">2014-09</w:t>
            </w:r>
          </w:p>
        </w:tc>
        <w:tc>
          <w:tcPr/>
          <w:p>
            <w:pPr>
              <w:pStyle w:val="Compact"/>
            </w:pPr>
            <w:r>
              <w:t xml:space="preserve">0.200000</w:t>
            </w:r>
          </w:p>
        </w:tc>
        <w:tc>
          <w:tcPr/>
          <w:p>
            <w:pPr>
              <w:pStyle w:val="Compact"/>
            </w:pPr>
            <w:r>
              <w:t xml:space="preserve">0.000000</w:t>
            </w:r>
          </w:p>
        </w:tc>
        <w:tc>
          <w:tcPr/>
          <w:p>
            <w:pPr>
              <w:pStyle w:val="Compact"/>
            </w:pPr>
            <w:r>
              <w:t xml:space="preserve">austin</w:t>
            </w:r>
          </w:p>
        </w:tc>
      </w:tr>
    </w:tbl>
    <w:p>
      <w:pPr>
        <w:pStyle w:val="BodyText"/>
      </w:pPr>
      <w:hyperlink w:anchor="fig-reviews-over-time">
        <w:r>
          <w:rPr>
            <w:rStyle w:val="Hyperlink"/>
          </w:rPr>
          <w:t xml:space="preserve">Figure 2</w:t>
        </w:r>
      </w:hyperlink>
      <w:r>
        <w:t xml:space="preserve"> </w:t>
      </w:r>
      <w:r>
        <w:t xml:space="preserve">shows the distribution of Yelp reviews regarding restaurants in Austin (which was affected by the Uber and Lyft exit) and Dallas (which was not affected). These data offer ready-to-analyze information regarding the quality of service and food in the restaurants over time.</w:t>
      </w:r>
    </w:p>
    <w:p>
      <w:pPr>
        <w:pStyle w:val="SourceCode"/>
      </w:pPr>
      <w:r>
        <w:rPr>
          <w:rStyle w:val="NormalTok"/>
        </w:rPr>
        <w:t xml:space="preserve">gr </w:t>
      </w:r>
      <w:r>
        <w:rPr>
          <w:rStyle w:val="OperatorTok"/>
        </w:rPr>
        <w:t xml:space="preserve">=</w:t>
      </w:r>
      <w:r>
        <w:rPr>
          <w:rStyle w:val="NormalTok"/>
        </w:rPr>
        <w:t xml:space="preserve"> df2.groupby([</w:t>
      </w:r>
      <w:r>
        <w:rPr>
          <w:rStyle w:val="StringTok"/>
        </w:rPr>
        <w:t xml:space="preserve">"time"</w:t>
      </w:r>
      <w:r>
        <w:rPr>
          <w:rStyle w:val="NormalTok"/>
        </w:rPr>
        <w:t xml:space="preserve">, </w:t>
      </w:r>
      <w:r>
        <w:rPr>
          <w:rStyle w:val="StringTok"/>
        </w:rPr>
        <w:t xml:space="preserve">"location"</w:t>
      </w:r>
      <w:r>
        <w:rPr>
          <w:rStyle w:val="NormalTok"/>
        </w:rPr>
        <w:t xml:space="preserve">])</w:t>
      </w:r>
      <w:r>
        <w:br/>
      </w:r>
      <w:r>
        <w:rPr>
          <w:rStyle w:val="NormalTok"/>
        </w:rPr>
        <w:t xml:space="preserve">ds </w:t>
      </w:r>
      <w:r>
        <w:rPr>
          <w:rStyle w:val="OperatorTok"/>
        </w:rPr>
        <w:t xml:space="preserve">=</w:t>
      </w:r>
      <w:r>
        <w:rPr>
          <w:rStyle w:val="NormalTok"/>
        </w:rPr>
        <w:t xml:space="preserve"> pd.DataFrame(gr.size().reset_index(name</w:t>
      </w:r>
      <w:r>
        <w:rPr>
          <w:rStyle w:val="OperatorTok"/>
        </w:rPr>
        <w:t xml:space="preserve">=</w:t>
      </w:r>
      <w:r>
        <w:rPr>
          <w:rStyle w:val="StringTok"/>
        </w:rPr>
        <w:t xml:space="preserve">"counts"</w:t>
      </w:r>
      <w:r>
        <w:rPr>
          <w:rStyle w:val="Normal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ControlFlowTok"/>
        </w:rPr>
        <w:t xml:space="preserve">for</w:t>
      </w:r>
      <w:r>
        <w:rPr>
          <w:rStyle w:val="NormalTok"/>
        </w:rPr>
        <w:t xml:space="preserve"> _, color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"austin"</w:t>
      </w:r>
      <w:r>
        <w:rPr>
          <w:rStyle w:val="NormalTok"/>
        </w:rPr>
        <w:t xml:space="preserve">, </w:t>
      </w:r>
      <w:r>
        <w:rPr>
          <w:rStyle w:val="StringTok"/>
        </w:rPr>
        <w:t xml:space="preserve">"dallas"</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tmp </w:t>
      </w:r>
      <w:r>
        <w:rPr>
          <w:rStyle w:val="OperatorTok"/>
        </w:rPr>
        <w:t xml:space="preserve">=</w:t>
      </w:r>
      <w:r>
        <w:rPr>
          <w:rStyle w:val="NormalTok"/>
        </w:rPr>
        <w:t xml:space="preserve"> ds.loc[ds[</w:t>
      </w:r>
      <w:r>
        <w:rPr>
          <w:rStyle w:val="StringTok"/>
        </w:rPr>
        <w:t xml:space="preserve">"location"</w:t>
      </w:r>
      <w:r>
        <w:rPr>
          <w:rStyle w:val="NormalTok"/>
        </w:rPr>
        <w:t xml:space="preserve">] </w:t>
      </w:r>
      <w:r>
        <w:rPr>
          <w:rStyle w:val="OperatorTok"/>
        </w:rPr>
        <w:t xml:space="preserve">==</w:t>
      </w:r>
      <w:r>
        <w:rPr>
          <w:rStyle w:val="NormalTok"/>
        </w:rPr>
        <w:t xml:space="preserve"> _, :]</w:t>
      </w:r>
      <w:r>
        <w:br/>
      </w:r>
      <w:r>
        <w:rPr>
          <w:rStyle w:val="NormalTok"/>
        </w:rPr>
        <w:t xml:space="preserve">    ax.plot(</w:t>
      </w:r>
      <w:r>
        <w:br/>
      </w:r>
      <w:r>
        <w:rPr>
          <w:rStyle w:val="NormalTok"/>
        </w:rPr>
        <w:t xml:space="preserve">        tmp.time,</w:t>
      </w:r>
      <w:r>
        <w:br/>
      </w:r>
      <w:r>
        <w:rPr>
          <w:rStyle w:val="NormalTok"/>
        </w:rPr>
        <w:t xml:space="preserve">        tmp.counts,</w:t>
      </w:r>
      <w:r>
        <w:br/>
      </w:r>
      <w:r>
        <w:rPr>
          <w:rStyle w:val="NormalTok"/>
        </w:rPr>
        <w:t xml:space="preserve">        color</w:t>
      </w:r>
      <w:r>
        <w:rPr>
          <w:rStyle w:val="OperatorTok"/>
        </w:rPr>
        <w:t xml:space="preserve">=</w:t>
      </w:r>
      <w:r>
        <w:rPr>
          <w:rStyle w:val="NormalTok"/>
        </w:rPr>
        <w:t xml:space="preserve">color,</w:t>
      </w:r>
      <w:r>
        <w:br/>
      </w:r>
      <w:r>
        <w:rPr>
          <w:rStyle w:val="NormalTok"/>
        </w:rPr>
        <w:t xml:space="preserve">        label</w:t>
      </w:r>
      <w:r>
        <w:rPr>
          <w:rStyle w:val="OperatorTok"/>
        </w:rPr>
        <w:t xml:space="preserve">=</w:t>
      </w:r>
      <w:r>
        <w:rPr>
          <w:rStyle w:val="NormalTok"/>
        </w:rPr>
        <w:t xml:space="preserve">_.title(),</w:t>
      </w:r>
      <w:r>
        <w:br/>
      </w:r>
      <w:r>
        <w:rPr>
          <w:rStyle w:val="NormalTok"/>
        </w:rPr>
        <w:t xml:space="preserve">    )</w:t>
      </w:r>
      <w:r>
        <w:br/>
      </w:r>
      <w:r>
        <w:rPr>
          <w:rStyle w:val="NormalTok"/>
        </w:rPr>
        <w:t xml:space="preserve">xticklabels </w:t>
      </w:r>
      <w:r>
        <w:rPr>
          <w:rStyle w:val="OperatorTok"/>
        </w:rPr>
        <w:t xml:space="preserve">=</w:t>
      </w:r>
      <w:r>
        <w:rPr>
          <w:rStyle w:val="NormalTok"/>
        </w:rPr>
        <w:t xml:space="preserve"> []</w:t>
      </w:r>
      <w:r>
        <w:br/>
      </w:r>
      <w:r>
        <w:rPr>
          <w:rStyle w:val="ControlFlowTok"/>
        </w:rPr>
        <w:t xml:space="preserve">for</w:t>
      </w:r>
      <w:r>
        <w:rPr>
          <w:rStyle w:val="NormalTok"/>
        </w:rPr>
        <w:t xml:space="preserve"> _ </w:t>
      </w:r>
      <w:r>
        <w:rPr>
          <w:rStyle w:val="KeywordTok"/>
        </w:rPr>
        <w:t xml:space="preserve">in</w:t>
      </w:r>
      <w:r>
        <w:rPr>
          <w:rStyle w:val="NormalTok"/>
        </w:rPr>
        <w:t xml:space="preserve"> ax.get_xticklabels():</w:t>
      </w:r>
      <w:r>
        <w:br/>
      </w:r>
      <w:r>
        <w:rPr>
          <w:rStyle w:val="NormalTok"/>
        </w:rPr>
        <w:t xml:space="preserve">    </w:t>
      </w:r>
      <w:r>
        <w:rPr>
          <w:rStyle w:val="ControlFlowTok"/>
        </w:rPr>
        <w:t xml:space="preserve">if</w:t>
      </w:r>
      <w:r>
        <w:rPr>
          <w:rStyle w:val="NormalTok"/>
        </w:rPr>
        <w:t xml:space="preserve"> </w:t>
      </w:r>
      <w:r>
        <w:rPr>
          <w:rStyle w:val="StringTok"/>
        </w:rPr>
        <w:t xml:space="preserve">"-05"</w:t>
      </w:r>
      <w:r>
        <w:rPr>
          <w:rStyle w:val="NormalTok"/>
        </w:rPr>
        <w:t xml:space="preserve"> </w:t>
      </w:r>
      <w:r>
        <w:rPr>
          <w:rStyle w:val="KeywordTok"/>
        </w:rPr>
        <w:t xml:space="preserve">in</w:t>
      </w:r>
      <w:r>
        <w:rPr>
          <w:rStyle w:val="NormalTok"/>
        </w:rPr>
        <w:t xml:space="preserve"> _.get_text():</w:t>
      </w:r>
      <w:r>
        <w:br/>
      </w:r>
      <w:r>
        <w:rPr>
          <w:rStyle w:val="NormalTok"/>
        </w:rPr>
        <w:t xml:space="preserve">        xticklabels.append(_.get_text())</w:t>
      </w:r>
      <w:r>
        <w:br/>
      </w:r>
      <w:r>
        <w:rPr>
          <w:rStyle w:val="NormalTok"/>
        </w:rPr>
        <w:t xml:space="preserve">    </w:t>
      </w:r>
      <w:r>
        <w:rPr>
          <w:rStyle w:val="ControlFlowTok"/>
        </w:rPr>
        <w:t xml:space="preserve">else</w:t>
      </w:r>
      <w:r>
        <w:rPr>
          <w:rStyle w:val="NormalTok"/>
        </w:rPr>
        <w:t xml:space="preserve">:</w:t>
      </w:r>
      <w:r>
        <w:br/>
      </w:r>
      <w:r>
        <w:rPr>
          <w:rStyle w:val="NormalTok"/>
        </w:rPr>
        <w:t xml:space="preserve">        xticklabels.append(</w:t>
      </w:r>
      <w:r>
        <w:rPr>
          <w:rStyle w:val="StringTok"/>
        </w:rPr>
        <w:t xml:space="preserve">""</w:t>
      </w:r>
      <w:r>
        <w:rPr>
          <w:rStyle w:val="NormalTok"/>
        </w:rPr>
        <w:t xml:space="preserve">)</w:t>
      </w:r>
      <w:r>
        <w:br/>
      </w:r>
      <w:r>
        <w:rPr>
          <w:rStyle w:val="NormalTok"/>
        </w:rPr>
        <w:t xml:space="preserve">ax.set_ylabel(</w:t>
      </w:r>
      <w:r>
        <w:rPr>
          <w:rStyle w:val="StringTok"/>
        </w:rPr>
        <w:t xml:space="preserve">"Counts of Yelp reviews"</w:t>
      </w:r>
      <w:r>
        <w:rPr>
          <w:rStyle w:val="NormalTok"/>
        </w:rPr>
        <w:t xml:space="preserve">)</w:t>
      </w:r>
      <w:r>
        <w:br/>
      </w:r>
      <w:r>
        <w:rPr>
          <w:rStyle w:val="NormalTok"/>
        </w:rPr>
        <w:t xml:space="preserve">ax.set_xticklabels(xticklabels, rotation</w:t>
      </w:r>
      <w:r>
        <w:rPr>
          <w:rStyle w:val="OperatorTok"/>
        </w:rPr>
        <w:t xml:space="preserve">=</w:t>
      </w:r>
      <w:r>
        <w:rPr>
          <w:rStyle w:val="DecValTok"/>
        </w:rPr>
        <w:t xml:space="preserve">90</w:t>
      </w:r>
      <w:r>
        <w:rPr>
          <w:rStyle w:val="NormalTok"/>
        </w:rPr>
        <w:t xml:space="preserve">, horizontalalignment</w:t>
      </w:r>
      <w:r>
        <w:rPr>
          <w:rStyle w:val="OperatorTok"/>
        </w:rPr>
        <w:t xml:space="preserve">=</w:t>
      </w:r>
      <w:r>
        <w:rPr>
          <w:rStyle w:val="StringTok"/>
        </w:rPr>
        <w:t xml:space="preserve">"center"</w:t>
      </w:r>
      <w:r>
        <w:rPr>
          <w:rStyle w:val="NormalTok"/>
        </w:rPr>
        <w:t xml:space="preserve">)</w:t>
      </w:r>
      <w:r>
        <w:br/>
      </w:r>
      <w:r>
        <w:rPr>
          <w:rStyle w:val="NormalTok"/>
        </w:rPr>
        <w:t xml:space="preserve">ax.legend(loc</w:t>
      </w:r>
      <w:r>
        <w:rPr>
          <w:rStyle w:val="OperatorTok"/>
        </w:rPr>
        <w:t xml:space="preserve">=</w:t>
      </w:r>
      <w:r>
        <w:rPr>
          <w:rStyle w:val="StringTok"/>
        </w:rPr>
        <w:t xml:space="preserve">"best"</w:t>
      </w:r>
      <w:r>
        <w:rPr>
          <w:rStyle w:val="NormalTok"/>
        </w:rPr>
        <w:t xml:space="preserve">)</w:t>
      </w:r>
      <w:r>
        <w:br/>
      </w:r>
      <w:r>
        <w:rPr>
          <w:rStyle w:val="NormalTok"/>
        </w:rPr>
        <w:t xml:space="preserve">ax.vlines(x</w:t>
      </w:r>
      <w:r>
        <w:rPr>
          <w:rStyle w:val="OperatorTok"/>
        </w:rPr>
        <w:t xml:space="preserve">=</w:t>
      </w:r>
      <w:r>
        <w:rPr>
          <w:rStyle w:val="StringTok"/>
        </w:rPr>
        <w:t xml:space="preserve">"2016-05"</w:t>
      </w:r>
      <w:r>
        <w:rPr>
          <w:rStyle w:val="NormalTok"/>
        </w:rPr>
        <w:t xml:space="preserve">, ymin</w:t>
      </w:r>
      <w:r>
        <w:rPr>
          <w:rStyle w:val="OperatorTok"/>
        </w:rPr>
        <w:t xml:space="preserve">=</w:t>
      </w:r>
      <w:r>
        <w:rPr>
          <w:rStyle w:val="DecValTok"/>
        </w:rPr>
        <w:t xml:space="preserve">0</w:t>
      </w:r>
      <w:r>
        <w:rPr>
          <w:rStyle w:val="NormalTok"/>
        </w:rPr>
        <w:t xml:space="preserve">, ymax</w:t>
      </w:r>
      <w:r>
        <w:rPr>
          <w:rStyle w:val="OperatorTok"/>
        </w:rPr>
        <w:t xml:space="preserve">=</w:t>
      </w:r>
      <w:r>
        <w:rPr>
          <w:rStyle w:val="NormalTok"/>
        </w:rPr>
        <w:t xml:space="preserve">ds[</w:t>
      </w:r>
      <w:r>
        <w:rPr>
          <w:rStyle w:val="StringTok"/>
        </w:rPr>
        <w:t xml:space="preserve">"counts"</w:t>
      </w:r>
      <w:r>
        <w:rPr>
          <w:rStyle w:val="NormalTok"/>
        </w:rPr>
        <w:t xml:space="preserve">].</w:t>
      </w:r>
      <w:r>
        <w:rPr>
          <w:rStyle w:val="BuiltInTok"/>
        </w:rPr>
        <w:t xml:space="preserve">max</w:t>
      </w:r>
      <w:r>
        <w:rPr>
          <w:rStyle w:val="NormalTok"/>
        </w:rPr>
        <w:t xml:space="preserve">(), color</w:t>
      </w:r>
      <w:r>
        <w:rPr>
          <w:rStyle w:val="OperatorTok"/>
        </w:rPr>
        <w:t xml:space="preserve">=</w:t>
      </w:r>
      <w:r>
        <w:rPr>
          <w:rStyle w:val="StringTok"/>
        </w:rPr>
        <w:t xml:space="preserve">"purple"</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ax.text(x</w:t>
      </w:r>
      <w:r>
        <w:rPr>
          <w:rStyle w:val="OperatorTok"/>
        </w:rPr>
        <w:t xml:space="preserve">=</w:t>
      </w:r>
      <w:r>
        <w:rPr>
          <w:rStyle w:val="StringTok"/>
        </w:rPr>
        <w:t xml:space="preserve">"2016-02"</w:t>
      </w:r>
      <w:r>
        <w:rPr>
          <w:rStyle w:val="NormalTok"/>
        </w:rPr>
        <w:t xml:space="preserve">, y</w:t>
      </w:r>
      <w:r>
        <w:rPr>
          <w:rStyle w:val="OperatorTok"/>
        </w:rPr>
        <w:t xml:space="preserve">=</w:t>
      </w:r>
      <w:r>
        <w:rPr>
          <w:rStyle w:val="DecValTok"/>
        </w:rPr>
        <w:t xml:space="preserve">0</w:t>
      </w:r>
      <w:r>
        <w:rPr>
          <w:rStyle w:val="NormalTok"/>
        </w:rPr>
        <w:t xml:space="preserve">, s</w:t>
      </w:r>
      <w:r>
        <w:rPr>
          <w:rStyle w:val="OperatorTok"/>
        </w:rPr>
        <w:t xml:space="preserve">=</w:t>
      </w:r>
      <w:r>
        <w:rPr>
          <w:rStyle w:val="StringTok"/>
        </w:rPr>
        <w:t xml:space="preserve">"Uber &amp; Lyft</w:t>
      </w:r>
      <w:r>
        <w:rPr>
          <w:rStyle w:val="CharTok"/>
        </w:rPr>
        <w:t xml:space="preserve">\n</w:t>
      </w:r>
      <w:r>
        <w:rPr>
          <w:rStyle w:val="StringTok"/>
        </w:rPr>
        <w:t xml:space="preserve">exit Austin"</w:t>
      </w:r>
      <w:r>
        <w:rPr>
          <w:rStyle w:val="NormalTok"/>
        </w:rPr>
        <w:t xml:space="preserve">, rotation</w:t>
      </w:r>
      <w:r>
        <w:rPr>
          <w:rStyle w:val="OperatorTok"/>
        </w:rPr>
        <w:t xml:space="preserve">=</w:t>
      </w:r>
      <w:r>
        <w:rPr>
          <w:rStyle w:val="DecValTok"/>
        </w:rPr>
        <w:t xml:space="preserve">90</w:t>
      </w:r>
      <w:r>
        <w:rPr>
          <w:rStyle w:val="NormalTok"/>
        </w:rPr>
        <w:t xml:space="preserve">, color</w:t>
      </w:r>
      <w:r>
        <w:rPr>
          <w:rStyle w:val="OperatorTok"/>
        </w:rPr>
        <w:t xml:space="preserve">=</w:t>
      </w:r>
      <w:r>
        <w:rPr>
          <w:rStyle w:val="StringTok"/>
        </w:rPr>
        <w:t xml:space="preserve">"purple"</w:t>
      </w:r>
      <w:r>
        <w:rPr>
          <w:rStyle w:val="NormalTok"/>
        </w:rPr>
        <w:t xml:space="preserve">)</w:t>
      </w:r>
      <w:r>
        <w:br/>
      </w:r>
      <w:r>
        <w:rPr>
          <w:rStyle w:val="NormalTok"/>
        </w:rPr>
        <w:t xml:space="preserve">ax.vlines(x</w:t>
      </w:r>
      <w:r>
        <w:rPr>
          <w:rStyle w:val="OperatorTok"/>
        </w:rPr>
        <w:t xml:space="preserve">=</w:t>
      </w:r>
      <w:r>
        <w:rPr>
          <w:rStyle w:val="StringTok"/>
        </w:rPr>
        <w:t xml:space="preserve">"2017-05"</w:t>
      </w:r>
      <w:r>
        <w:rPr>
          <w:rStyle w:val="NormalTok"/>
        </w:rPr>
        <w:t xml:space="preserve">, ymin</w:t>
      </w:r>
      <w:r>
        <w:rPr>
          <w:rStyle w:val="OperatorTok"/>
        </w:rPr>
        <w:t xml:space="preserve">=</w:t>
      </w:r>
      <w:r>
        <w:rPr>
          <w:rStyle w:val="DecValTok"/>
        </w:rPr>
        <w:t xml:space="preserve">0</w:t>
      </w:r>
      <w:r>
        <w:rPr>
          <w:rStyle w:val="NormalTok"/>
        </w:rPr>
        <w:t xml:space="preserve">, ymax</w:t>
      </w:r>
      <w:r>
        <w:rPr>
          <w:rStyle w:val="OperatorTok"/>
        </w:rPr>
        <w:t xml:space="preserve">=</w:t>
      </w:r>
      <w:r>
        <w:rPr>
          <w:rStyle w:val="NormalTok"/>
        </w:rPr>
        <w:t xml:space="preserve">ds[</w:t>
      </w:r>
      <w:r>
        <w:rPr>
          <w:rStyle w:val="StringTok"/>
        </w:rPr>
        <w:t xml:space="preserve">"counts"</w:t>
      </w:r>
      <w:r>
        <w:rPr>
          <w:rStyle w:val="NormalTok"/>
        </w:rPr>
        <w:t xml:space="preserve">].</w:t>
      </w:r>
      <w:r>
        <w:rPr>
          <w:rStyle w:val="BuiltInTok"/>
        </w:rPr>
        <w:t xml:space="preserve">max</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ax.text(</w:t>
      </w:r>
      <w:r>
        <w:br/>
      </w:r>
      <w:r>
        <w:rPr>
          <w:rStyle w:val="NormalTok"/>
        </w:rPr>
        <w:t xml:space="preserve">    x</w:t>
      </w:r>
      <w:r>
        <w:rPr>
          <w:rStyle w:val="OperatorTok"/>
        </w:rPr>
        <w:t xml:space="preserve">=</w:t>
      </w:r>
      <w:r>
        <w:rPr>
          <w:rStyle w:val="StringTok"/>
        </w:rPr>
        <w:t xml:space="preserve">"2017-02"</w:t>
      </w:r>
      <w:r>
        <w:rPr>
          <w:rStyle w:val="NormalTok"/>
        </w:rPr>
        <w:t xml:space="preserve">, y</w:t>
      </w:r>
      <w:r>
        <w:rPr>
          <w:rStyle w:val="OperatorTok"/>
        </w:rPr>
        <w:t xml:space="preserve">=</w:t>
      </w:r>
      <w:r>
        <w:rPr>
          <w:rStyle w:val="DecValTok"/>
        </w:rPr>
        <w:t xml:space="preserve">0</w:t>
      </w:r>
      <w:r>
        <w:rPr>
          <w:rStyle w:val="NormalTok"/>
        </w:rPr>
        <w:t xml:space="preserve">, s</w:t>
      </w:r>
      <w:r>
        <w:rPr>
          <w:rStyle w:val="OperatorTok"/>
        </w:rPr>
        <w:t xml:space="preserve">=</w:t>
      </w:r>
      <w:r>
        <w:rPr>
          <w:rStyle w:val="StringTok"/>
        </w:rPr>
        <w:t xml:space="preserve">"Uber &amp; Lyft</w:t>
      </w:r>
      <w:r>
        <w:rPr>
          <w:rStyle w:val="CharTok"/>
        </w:rPr>
        <w:t xml:space="preserve">\n</w:t>
      </w:r>
      <w:r>
        <w:rPr>
          <w:rStyle w:val="StringTok"/>
        </w:rPr>
        <w:t xml:space="preserve">re-entry Austin"</w:t>
      </w:r>
      <w:r>
        <w:rPr>
          <w:rStyle w:val="NormalTok"/>
        </w:rPr>
        <w:t xml:space="preserve">, rotation</w:t>
      </w:r>
      <w:r>
        <w:rPr>
          <w:rStyle w:val="OperatorTok"/>
        </w:rPr>
        <w:t xml:space="preserve">=</w:t>
      </w:r>
      <w:r>
        <w:rPr>
          <w:rStyle w:val="DecValTok"/>
        </w:rPr>
        <w:t xml:space="preserve">90</w:t>
      </w:r>
      <w:r>
        <w:rPr>
          <w:rStyle w:val="NormalTok"/>
        </w:rPr>
        <w:t xml:space="preserve">, color</w:t>
      </w:r>
      <w:r>
        <w:rPr>
          <w:rStyle w:val="OperatorTok"/>
        </w:rPr>
        <w:t xml:space="preserve">=</w:t>
      </w:r>
      <w:r>
        <w:rPr>
          <w:rStyle w:val="StringTok"/>
        </w:rPr>
        <w:t xml:space="preserve">"green"</w:t>
      </w:r>
      <w:r>
        <w:br/>
      </w:r>
      <w:r>
        <w:rPr>
          <w:rStyle w:val="NormalTok"/>
        </w:rPr>
        <w:t xml:space="preserve">)</w:t>
      </w:r>
      <w:r>
        <w:br/>
      </w:r>
      <w:r>
        <w:rPr>
          <w:rStyle w:val="NormalTok"/>
        </w:rPr>
        <w:t xml:space="preserve">ax.grid(</w:t>
      </w:r>
      <w:r>
        <w:rPr>
          <w:rStyle w:val="VariableTok"/>
        </w:rPr>
        <w:t xml:space="preserve">True</w:t>
      </w:r>
      <w:r>
        <w:rPr>
          <w:rStyle w:val="NormalTok"/>
        </w:rPr>
        <w:t xml:space="preserve">, which</w:t>
      </w:r>
      <w:r>
        <w:rPr>
          <w:rStyle w:val="OperatorTok"/>
        </w:rPr>
        <w:t xml:space="preserve">=</w:t>
      </w:r>
      <w:r>
        <w:rPr>
          <w:rStyle w:val="StringTok"/>
        </w:rPr>
        <w:t xml:space="preserve">"major"</w:t>
      </w:r>
      <w:r>
        <w:rPr>
          <w:rStyle w:val="NormalTok"/>
        </w:rPr>
        <w:t xml:space="preserve">, 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6" w:name="fig-reviews-over-time"/>
          <w:p>
            <w:pPr>
              <w:pStyle w:val="Compact"/>
              <w:jc w:val="center"/>
            </w:pPr>
            <w:r>
              <w:drawing>
                <wp:inline>
                  <wp:extent cx="5334000" cy="3026326"/>
                  <wp:effectExtent b="0" l="0" r="0" t="0"/>
                  <wp:docPr descr="" title="" id="34" name="Picture"/>
                  <a:graphic>
                    <a:graphicData uri="http://schemas.openxmlformats.org/drawingml/2006/picture">
                      <pic:pic>
                        <pic:nvPicPr>
                          <pic:cNvPr descr="fcp_files/figure-docx/fig-reviews-over-time-output-1.png" id="35" name="Picture"/>
                          <pic:cNvPicPr>
                            <a:picLocks noChangeArrowheads="1" noChangeAspect="1"/>
                          </pic:cNvPicPr>
                        </pic:nvPicPr>
                        <pic:blipFill>
                          <a:blip r:embed="rId33"/>
                          <a:stretch>
                            <a:fillRect/>
                          </a:stretch>
                        </pic:blipFill>
                        <pic:spPr bwMode="auto">
                          <a:xfrm>
                            <a:off x="0" y="0"/>
                            <a:ext cx="5334000" cy="3026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Yelp reviews regarding restaurants in Austin and Dallas</w:t>
            </w:r>
          </w:p>
          <w:bookmarkEnd w:id="36"/>
        </w:tc>
      </w:tr>
    </w:tbl>
    <w:bookmarkEnd w:id="37"/>
    <w:bookmarkStart w:id="38" w:name="labor-mobility"/>
    <w:p>
      <w:pPr>
        <w:pStyle w:val="Heading3"/>
      </w:pPr>
      <w:r>
        <w:t xml:space="preserve">Labor mobility</w:t>
      </w:r>
    </w:p>
    <w:p>
      <w:pPr>
        <w:pStyle w:val="FirstParagraph"/>
      </w:pPr>
      <w:r>
        <w:t xml:space="preserve">A second, related dataset,</w:t>
      </w:r>
      <w:r>
        <w:t xml:space="preserve"> </w:t>
      </w:r>
      <w:r>
        <w:rPr>
          <w:rStyle w:val="VerbatimChar"/>
        </w:rPr>
        <w:t xml:space="preserve">platform_economy_mobility.csv</w:t>
      </w:r>
      <w:r>
        <w:t xml:space="preserve">, contains the career spells of 193 restaurant workers. Below is the codebook for the dataset:</w:t>
      </w:r>
    </w:p>
    <w:p>
      <w:pPr>
        <w:pStyle w:val="Compact"/>
        <w:numPr>
          <w:ilvl w:val="0"/>
          <w:numId w:val="1004"/>
        </w:numPr>
      </w:pPr>
      <w:r>
        <w:rPr>
          <w:b/>
          <w:bCs/>
        </w:rPr>
        <w:t xml:space="preserve">employee</w:t>
      </w:r>
      <w:r>
        <w:t xml:space="preserve">: Employee numeric identifier</w:t>
      </w:r>
    </w:p>
    <w:p>
      <w:pPr>
        <w:pStyle w:val="Compact"/>
        <w:numPr>
          <w:ilvl w:val="0"/>
          <w:numId w:val="1004"/>
        </w:numPr>
      </w:pPr>
      <w:r>
        <w:rPr>
          <w:b/>
          <w:bCs/>
        </w:rPr>
        <w:t xml:space="preserve">time</w:t>
      </w:r>
      <w:r>
        <w:t xml:space="preserve">: Even timestamp in</w:t>
      </w:r>
      <w:r>
        <w:t xml:space="preserve"> </w:t>
      </w:r>
      <w:r>
        <w:rPr>
          <w:rStyle w:val="VerbatimChar"/>
        </w:rPr>
        <w:t xml:space="preserve">%YYYY%MM</w:t>
      </w:r>
      <w:r>
        <w:t xml:space="preserve"> </w:t>
      </w:r>
      <w:r>
        <w:t xml:space="preserve">format</w:t>
      </w:r>
    </w:p>
    <w:p>
      <w:pPr>
        <w:pStyle w:val="Compact"/>
        <w:numPr>
          <w:ilvl w:val="0"/>
          <w:numId w:val="1004"/>
        </w:numPr>
      </w:pPr>
      <w:r>
        <w:rPr>
          <w:b/>
          <w:bCs/>
        </w:rPr>
        <w:t xml:space="preserve">tenure</w:t>
      </w:r>
      <w:r>
        <w:t xml:space="preserve">: Worker tenure in the restaurant in months</w:t>
      </w:r>
    </w:p>
    <w:p>
      <w:pPr>
        <w:pStyle w:val="Compact"/>
        <w:numPr>
          <w:ilvl w:val="0"/>
          <w:numId w:val="1004"/>
        </w:numPr>
      </w:pPr>
      <w:r>
        <w:rPr>
          <w:b/>
          <w:bCs/>
        </w:rPr>
        <w:t xml:space="preserve">quit</w:t>
      </w:r>
      <w:r>
        <w:t xml:space="preserve">: Logical value whether the employee quit his or her job at the restaurant after the last month indicated by the</w:t>
      </w:r>
      <w:r>
        <w:t xml:space="preserve"> </w:t>
      </w:r>
      <w:r>
        <w:rPr>
          <w:rStyle w:val="VerbatimChar"/>
        </w:rPr>
        <w:t xml:space="preserve">time</w:t>
      </w:r>
    </w:p>
    <w:p>
      <w:pPr>
        <w:pStyle w:val="Compact"/>
        <w:numPr>
          <w:ilvl w:val="0"/>
          <w:numId w:val="1004"/>
        </w:numPr>
      </w:pPr>
      <w:r>
        <w:rPr>
          <w:b/>
          <w:bCs/>
        </w:rPr>
        <w:t xml:space="preserve">role</w:t>
      </w:r>
      <w:r>
        <w:t xml:space="preserve">: Worker role in the restaurant</w:t>
      </w:r>
    </w:p>
    <w:p>
      <w:pPr>
        <w:pStyle w:val="Compact"/>
        <w:numPr>
          <w:ilvl w:val="0"/>
          <w:numId w:val="1004"/>
        </w:numPr>
      </w:pPr>
      <w:r>
        <w:rPr>
          <w:b/>
          <w:bCs/>
        </w:rPr>
        <w:t xml:space="preserve">avg_hourly_wage</w:t>
      </w:r>
      <w:r>
        <w:t xml:space="preserve">: Worker average hourly wage in that calendar month</w:t>
      </w:r>
    </w:p>
    <w:p>
      <w:pPr>
        <w:pStyle w:val="Compact"/>
        <w:numPr>
          <w:ilvl w:val="0"/>
          <w:numId w:val="1004"/>
        </w:numPr>
      </w:pPr>
      <w:r>
        <w:rPr>
          <w:b/>
          <w:bCs/>
        </w:rPr>
        <w:t xml:space="preserve">dma</w:t>
      </w:r>
      <w:r>
        <w:t xml:space="preserve">: Market area of restaurants</w:t>
      </w:r>
    </w:p>
    <w:p>
      <w:pPr>
        <w:pStyle w:val="Compact"/>
        <w:numPr>
          <w:ilvl w:val="0"/>
          <w:numId w:val="1004"/>
        </w:numPr>
      </w:pPr>
      <w:r>
        <w:rPr>
          <w:b/>
          <w:bCs/>
        </w:rPr>
        <w:t xml:space="preserve">restaurant</w:t>
      </w:r>
      <w:r>
        <w:t xml:space="preserve">: Restaurant unique identifier (linked against the previous data-table)</w:t>
      </w:r>
    </w:p>
    <w:p>
      <w:pPr>
        <w:pStyle w:val="Compact"/>
        <w:numPr>
          <w:ilvl w:val="0"/>
          <w:numId w:val="1004"/>
        </w:numPr>
      </w:pPr>
      <w:r>
        <w:rPr>
          <w:b/>
          <w:bCs/>
        </w:rPr>
        <w:t xml:space="preserve">restaurant_category</w:t>
      </w:r>
      <w:r>
        <w:t xml:space="preserve">: Restaurant category, e.g.,</w:t>
      </w:r>
      <w:r>
        <w:t xml:space="preserve"> </w:t>
      </w:r>
      <w:r>
        <w:t xml:space="preserve">“Quick Service,”</w:t>
      </w:r>
      <w:r>
        <w:t xml:space="preserve"> </w:t>
      </w:r>
      <w:r>
        <w:t xml:space="preserve">“Fast Casual,”</w:t>
      </w:r>
      <w:r>
        <w:t xml:space="preserve"> </w:t>
      </w:r>
      <w:r>
        <w:t xml:space="preserve">“Casual Dining,”</w:t>
      </w:r>
      <w:r>
        <w:t xml:space="preserve"> </w:t>
      </w:r>
      <w:r>
        <w:t xml:space="preserve">“Upscale Casual,”</w:t>
      </w:r>
      <w:r>
        <w:t xml:space="preserve"> </w:t>
      </w:r>
      <w:r>
        <w:t xml:space="preserve">and</w:t>
      </w:r>
      <w:r>
        <w:t xml:space="preserve"> </w:t>
      </w:r>
      <w:r>
        <w:t xml:space="preserve">“Fine Dining”</w:t>
      </w:r>
    </w:p>
    <w:p>
      <w:pPr>
        <w:pStyle w:val="SourceCode"/>
      </w:pPr>
      <w:r>
        <w:rPr>
          <w:rStyle w:val="NormalTok"/>
        </w:rPr>
        <w:t xml:space="preserve">df2 </w:t>
      </w:r>
      <w:r>
        <w:rPr>
          <w:rStyle w:val="OperatorTok"/>
        </w:rPr>
        <w:t xml:space="preserve">=</w:t>
      </w:r>
      <w:r>
        <w:rPr>
          <w:rStyle w:val="NormalTok"/>
        </w:rPr>
        <w:t xml:space="preserve"> pd.read_csv(</w:t>
      </w:r>
      <w:r>
        <w:rPr>
          <w:rStyle w:val="StringTok"/>
        </w:rPr>
        <w:t xml:space="preserve">"data/platform_economy_mobility.csv"</w:t>
      </w:r>
      <w:r>
        <w:rPr>
          <w:rStyle w:val="NormalTok"/>
        </w:rPr>
        <w:t xml:space="preserve">)</w:t>
      </w:r>
      <w:r>
        <w:br/>
      </w:r>
      <w:r>
        <w:rPr>
          <w:rStyle w:val="NormalTok"/>
        </w:rPr>
        <w:t xml:space="preserve">df2.head()</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pPr>
            <w:r>
              <w:t xml:space="preserve">employee</w:t>
            </w:r>
          </w:p>
        </w:tc>
        <w:tc>
          <w:tcPr/>
          <w:p>
            <w:pPr>
              <w:pStyle w:val="Compact"/>
            </w:pPr>
            <w:r>
              <w:t xml:space="preserve">time</w:t>
            </w:r>
          </w:p>
        </w:tc>
        <w:tc>
          <w:tcPr/>
          <w:p>
            <w:pPr>
              <w:pStyle w:val="Compact"/>
            </w:pPr>
            <w:r>
              <w:t xml:space="preserve">tenure</w:t>
            </w:r>
          </w:p>
        </w:tc>
        <w:tc>
          <w:tcPr/>
          <w:p>
            <w:pPr>
              <w:pStyle w:val="Compact"/>
            </w:pPr>
            <w:r>
              <w:t xml:space="preserve">quit</w:t>
            </w:r>
          </w:p>
        </w:tc>
        <w:tc>
          <w:tcPr/>
          <w:p>
            <w:pPr>
              <w:pStyle w:val="Compact"/>
            </w:pPr>
            <w:r>
              <w:t xml:space="preserve">role</w:t>
            </w:r>
          </w:p>
        </w:tc>
        <w:tc>
          <w:tcPr/>
          <w:p>
            <w:pPr>
              <w:pStyle w:val="Compact"/>
            </w:pPr>
            <w:r>
              <w:t xml:space="preserve">avg_hourly_wage</w:t>
            </w:r>
          </w:p>
        </w:tc>
        <w:tc>
          <w:tcPr/>
          <w:p>
            <w:pPr>
              <w:pStyle w:val="Compact"/>
            </w:pPr>
            <w:r>
              <w:t xml:space="preserve">dma</w:t>
            </w:r>
          </w:p>
        </w:tc>
        <w:tc>
          <w:tcPr/>
          <w:p>
            <w:pPr>
              <w:pStyle w:val="Compact"/>
            </w:pPr>
            <w:r>
              <w:t xml:space="preserve">restaurant</w:t>
            </w:r>
          </w:p>
        </w:tc>
        <w:tc>
          <w:tcPr/>
          <w:p>
            <w:pPr>
              <w:pStyle w:val="Compact"/>
            </w:pPr>
            <w:r>
              <w:t xml:space="preserve">restaurant_cat</w:t>
            </w:r>
          </w:p>
        </w:tc>
      </w:tr>
      <w:tr>
        <w:tc>
          <w:tcPr/>
          <w:p>
            <w:pPr>
              <w:pStyle w:val="Compact"/>
            </w:pPr>
            <w:r>
              <w:t xml:space="preserve">0</w:t>
            </w:r>
          </w:p>
        </w:tc>
        <w:tc>
          <w:tcPr/>
          <w:p>
            <w:pPr>
              <w:pStyle w:val="Compact"/>
            </w:pPr>
            <w:r>
              <w:t xml:space="preserve">1</w:t>
            </w:r>
          </w:p>
        </w:tc>
        <w:tc>
          <w:tcPr/>
          <w:p>
            <w:pPr>
              <w:pStyle w:val="Compact"/>
            </w:pPr>
            <w:r>
              <w:t xml:space="preserve">2017-10</w:t>
            </w:r>
          </w:p>
        </w:tc>
        <w:tc>
          <w:tcPr/>
          <w:p>
            <w:pPr>
              <w:pStyle w:val="Compact"/>
            </w:pPr>
            <w:r>
              <w:t xml:space="preserve">5</w:t>
            </w:r>
          </w:p>
        </w:tc>
        <w:tc>
          <w:tcPr/>
          <w:p>
            <w:pPr>
              <w:pStyle w:val="Compact"/>
            </w:pPr>
            <w:r>
              <w:t xml:space="preserve">False</w:t>
            </w:r>
          </w:p>
        </w:tc>
        <w:tc>
          <w:tcPr/>
          <w:p>
            <w:pPr>
              <w:pStyle w:val="Compact"/>
            </w:pPr>
            <w:r>
              <w:t xml:space="preserve">Prep Cook</w:t>
            </w:r>
          </w:p>
        </w:tc>
        <w:tc>
          <w:tcPr/>
          <w:p>
            <w:pPr>
              <w:pStyle w:val="Compact"/>
            </w:pPr>
            <w:r>
              <w:t xml:space="preserve">14.917600</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1</w:t>
            </w:r>
          </w:p>
        </w:tc>
        <w:tc>
          <w:tcPr/>
          <w:p>
            <w:pPr>
              <w:pStyle w:val="Compact"/>
            </w:pPr>
            <w:r>
              <w:t xml:space="preserve">1</w:t>
            </w:r>
          </w:p>
        </w:tc>
        <w:tc>
          <w:tcPr/>
          <w:p>
            <w:pPr>
              <w:pStyle w:val="Compact"/>
            </w:pPr>
            <w:r>
              <w:t xml:space="preserve">2017-11</w:t>
            </w:r>
          </w:p>
        </w:tc>
        <w:tc>
          <w:tcPr/>
          <w:p>
            <w:pPr>
              <w:pStyle w:val="Compact"/>
            </w:pPr>
            <w:r>
              <w:t xml:space="preserve">6</w:t>
            </w:r>
          </w:p>
        </w:tc>
        <w:tc>
          <w:tcPr/>
          <w:p>
            <w:pPr>
              <w:pStyle w:val="Compact"/>
            </w:pPr>
            <w:r>
              <w:t xml:space="preserve">False</w:t>
            </w:r>
          </w:p>
        </w:tc>
        <w:tc>
          <w:tcPr/>
          <w:p>
            <w:pPr>
              <w:pStyle w:val="Compact"/>
            </w:pPr>
            <w:r>
              <w:t xml:space="preserve">Prep Cook</w:t>
            </w:r>
          </w:p>
        </w:tc>
        <w:tc>
          <w:tcPr/>
          <w:p>
            <w:pPr>
              <w:pStyle w:val="Compact"/>
            </w:pPr>
            <w:r>
              <w:t xml:space="preserve">15.008746</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2</w:t>
            </w:r>
          </w:p>
        </w:tc>
        <w:tc>
          <w:tcPr/>
          <w:p>
            <w:pPr>
              <w:pStyle w:val="Compact"/>
            </w:pPr>
            <w:r>
              <w:t xml:space="preserve">1</w:t>
            </w:r>
          </w:p>
        </w:tc>
        <w:tc>
          <w:tcPr/>
          <w:p>
            <w:pPr>
              <w:pStyle w:val="Compact"/>
            </w:pPr>
            <w:r>
              <w:t xml:space="preserve">2017-12</w:t>
            </w:r>
          </w:p>
        </w:tc>
        <w:tc>
          <w:tcPr/>
          <w:p>
            <w:pPr>
              <w:pStyle w:val="Compact"/>
            </w:pPr>
            <w:r>
              <w:t xml:space="preserve">7</w:t>
            </w:r>
          </w:p>
        </w:tc>
        <w:tc>
          <w:tcPr/>
          <w:p>
            <w:pPr>
              <w:pStyle w:val="Compact"/>
            </w:pPr>
            <w:r>
              <w:t xml:space="preserve">False</w:t>
            </w:r>
          </w:p>
        </w:tc>
        <w:tc>
          <w:tcPr/>
          <w:p>
            <w:pPr>
              <w:pStyle w:val="Compact"/>
            </w:pPr>
            <w:r>
              <w:t xml:space="preserve">Prep Cook</w:t>
            </w:r>
          </w:p>
        </w:tc>
        <w:tc>
          <w:tcPr/>
          <w:p>
            <w:pPr>
              <w:pStyle w:val="Compact"/>
            </w:pPr>
            <w:r>
              <w:t xml:space="preserve">14.610148</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3</w:t>
            </w:r>
          </w:p>
        </w:tc>
        <w:tc>
          <w:tcPr/>
          <w:p>
            <w:pPr>
              <w:pStyle w:val="Compact"/>
            </w:pPr>
            <w:r>
              <w:t xml:space="preserve">1</w:t>
            </w:r>
          </w:p>
        </w:tc>
        <w:tc>
          <w:tcPr/>
          <w:p>
            <w:pPr>
              <w:pStyle w:val="Compact"/>
            </w:pPr>
            <w:r>
              <w:t xml:space="preserve">2017-6</w:t>
            </w:r>
          </w:p>
        </w:tc>
        <w:tc>
          <w:tcPr/>
          <w:p>
            <w:pPr>
              <w:pStyle w:val="Compact"/>
            </w:pPr>
            <w:r>
              <w:t xml:space="preserve">1</w:t>
            </w:r>
          </w:p>
        </w:tc>
        <w:tc>
          <w:tcPr/>
          <w:p>
            <w:pPr>
              <w:pStyle w:val="Compact"/>
            </w:pPr>
            <w:r>
              <w:t xml:space="preserve">False</w:t>
            </w:r>
          </w:p>
        </w:tc>
        <w:tc>
          <w:tcPr/>
          <w:p>
            <w:pPr>
              <w:pStyle w:val="Compact"/>
            </w:pPr>
            <w:r>
              <w:t xml:space="preserve">Line Cook</w:t>
            </w:r>
          </w:p>
        </w:tc>
        <w:tc>
          <w:tcPr/>
          <w:p>
            <w:pPr>
              <w:pStyle w:val="Compact"/>
            </w:pPr>
            <w:r>
              <w:t xml:space="preserve">15.906409</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4</w:t>
            </w:r>
          </w:p>
        </w:tc>
        <w:tc>
          <w:tcPr/>
          <w:p>
            <w:pPr>
              <w:pStyle w:val="Compact"/>
            </w:pPr>
            <w:r>
              <w:t xml:space="preserve">1</w:t>
            </w:r>
          </w:p>
        </w:tc>
        <w:tc>
          <w:tcPr/>
          <w:p>
            <w:pPr>
              <w:pStyle w:val="Compact"/>
            </w:pPr>
            <w:r>
              <w:t xml:space="preserve">2017-7</w:t>
            </w:r>
          </w:p>
        </w:tc>
        <w:tc>
          <w:tcPr/>
          <w:p>
            <w:pPr>
              <w:pStyle w:val="Compact"/>
            </w:pPr>
            <w:r>
              <w:t xml:space="preserve">2</w:t>
            </w:r>
          </w:p>
        </w:tc>
        <w:tc>
          <w:tcPr/>
          <w:p>
            <w:pPr>
              <w:pStyle w:val="Compact"/>
            </w:pPr>
            <w:r>
              <w:t xml:space="preserve">False</w:t>
            </w:r>
          </w:p>
        </w:tc>
        <w:tc>
          <w:tcPr/>
          <w:p>
            <w:pPr>
              <w:pStyle w:val="Compact"/>
            </w:pPr>
            <w:r>
              <w:t xml:space="preserve">Prep Cook</w:t>
            </w:r>
          </w:p>
        </w:tc>
        <w:tc>
          <w:tcPr/>
          <w:p>
            <w:pPr>
              <w:pStyle w:val="Compact"/>
            </w:pPr>
            <w:r>
              <w:t xml:space="preserve">15.393874</w:t>
            </w:r>
          </w:p>
        </w:tc>
        <w:tc>
          <w:tcPr/>
          <w:p>
            <w:pPr>
              <w:pStyle w:val="Compact"/>
            </w:pPr>
            <w:r>
              <w:t xml:space="preserve">AUSTIN</w:t>
            </w:r>
          </w:p>
        </w:tc>
        <w:tc>
          <w:tcPr/>
          <w:p>
            <w:pPr>
              <w:pStyle w:val="Compact"/>
            </w:pPr>
            <w:r>
              <w:t xml:space="preserve">3</w:t>
            </w:r>
          </w:p>
        </w:tc>
        <w:tc>
          <w:tcPr/>
          <w:p>
            <w:pPr>
              <w:pStyle w:val="Compact"/>
            </w:pPr>
            <w:r>
              <w:t xml:space="preserve">Upscale Casual</w:t>
            </w:r>
          </w:p>
        </w:tc>
      </w:tr>
    </w:tbl>
    <w:bookmarkEnd w:id="38"/>
    <w:bookmarkEnd w:id="39"/>
    <w:bookmarkStart w:id="40" w:name="data-visualization-problem-1"/>
    <w:p>
      <w:pPr>
        <w:pStyle w:val="Heading2"/>
      </w:pPr>
      <w:r>
        <w:t xml:space="preserve">Data visualization problem</w:t>
      </w:r>
    </w:p>
    <w:p>
      <w:pPr>
        <w:pStyle w:val="FirstParagraph"/>
      </w:pPr>
      <w:r>
        <w:t xml:space="preserve">Create two (2) plots addressing the following questions:</w:t>
      </w:r>
      <w:r>
        <w:t xml:space="preserve"> </w:t>
      </w:r>
      <w:r>
        <w:t xml:space="preserve">“Does the exit of Uber and Lyft from Austin, Texas, affect the quality of service and food in local restaurants?”</w:t>
      </w:r>
      <w:r>
        <w:t xml:space="preserve"> </w:t>
      </w:r>
      <w:r>
        <w:t xml:space="preserve">And</w:t>
      </w:r>
      <w:r>
        <w:t xml:space="preserve"> </w:t>
      </w:r>
      <w:r>
        <w:t xml:space="preserve">“through which mechanism(s)?”</w:t>
      </w:r>
    </w:p>
    <w:bookmarkEnd w:id="40"/>
    <w:bookmarkEnd w:id="41"/>
    <w:bookmarkStart w:id="42" w:name="sec-template"/>
    <w:p>
      <w:pPr>
        <w:pStyle w:val="Heading1"/>
      </w:pPr>
      <w:r>
        <w:t xml:space="preserve">Submission package</w:t>
      </w:r>
    </w:p>
    <w:p>
      <w:pPr>
        <w:pStyle w:val="FirstParagraph"/>
      </w:pPr>
      <w:r>
        <w:t xml:space="preserve">The submission package consists of:</w:t>
      </w:r>
    </w:p>
    <w:p>
      <w:pPr>
        <w:pStyle w:val="Compact"/>
        <w:numPr>
          <w:ilvl w:val="0"/>
          <w:numId w:val="1005"/>
        </w:numPr>
      </w:pPr>
      <w:r>
        <w:t xml:space="preserve">An executive summary containing the two plots and a 600 word, companion text addressing the above-described business problems</w:t>
      </w:r>
    </w:p>
    <w:p>
      <w:pPr>
        <w:pStyle w:val="Compact"/>
        <w:numPr>
          <w:ilvl w:val="0"/>
          <w:numId w:val="1005"/>
        </w:numPr>
      </w:pPr>
      <w:r>
        <w:t xml:space="preserve">The computer code that allows me to fully reproduce your charts (being, R, Python, Julia, Rust, Stata, C++, Java, etc.). The code should be well-commented and easy to read. Non-reproducible charts will not be graded.</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Industrial and Commercial Abatement Program (ICAP) is a tax incentive program in New York City designed to encourage businesses to make capital investments in industrial and commercial properties. Under ICAP, eligible businesses that renovate, construct, or expand commercial and industrial buildings can receive partial property tax exemptions for a specified period. This program aims to stimulate economic development, create jobs, and modernize the city’s infrastructure.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hyperlink" Id="rId29" Target="https://opendata.cityofnewyork.us/" TargetMode="External" /></Relationships>
</file>

<file path=word/_rels/footnotes.xml.rels><?xml version="1.0" encoding="UTF-8"?><Relationships xmlns="http://schemas.openxmlformats.org/package/2006/relationships"><Relationship Type="http://schemas.openxmlformats.org/officeDocument/2006/relationships/hyperlink" Id="rId29" Target="https://opendata.cityofnewyork.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SMM635 Final Course Project</dc:title>
  <dc:creator>Simone Santoni</dc:creator>
  <cp:keywords/>
  <dcterms:created xsi:type="dcterms:W3CDTF">2024-11-22T17:36:47Z</dcterms:created>
  <dcterms:modified xsi:type="dcterms:W3CDTF">2024-11-22T17:36:47Z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illustrates two alternative final course projects for the SMM635 course.</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