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23.png" ContentType="image/png"/>
  <Override PartName="/word/media/rId45.png" ContentType="image/png"/>
  <Override PartName="/word/media/rId54.png" ContentType="image/png"/>
  <Override PartName="/word/media/rId49.png" ContentType="image/png"/>
  <Override PartName="/word/media/rId69.png" ContentType="image/png"/>
  <Override PartName="/word/media/rId61.png" ContentType="image/png"/>
  <Override PartName="/word/media/rId27.png" ContentType="image/png"/>
  <Override PartName="/word/media/rId3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 colors and shapes in ggplot2</w:t>
      </w:r>
    </w:p>
    <w:p>
      <w:pPr>
        <w:pStyle w:val="Author"/>
      </w:pPr>
      <w:r>
        <w:t xml:space="preserve">Simone Santoni</w:t>
      </w:r>
    </w:p>
    <w:p>
      <w:pPr>
        <w:pStyle w:val="Date"/>
      </w:pPr>
      <w:r>
        <w:t xml:space="preserve">2024-10-31</w:t>
      </w:r>
    </w:p>
    <w:p>
      <w:pPr>
        <w:pStyle w:val="AbstractTitle"/>
      </w:pPr>
      <w:r>
        <w:t xml:space="preserve">Synopsis</w:t>
      </w:r>
    </w:p>
    <w:p>
      <w:pPr>
        <w:pStyle w:val="Abstract"/>
      </w:pPr>
      <w:r>
        <w:t xml:space="preserve">This notebook illustrates how to change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notebook-setup"/>
    <w:p>
      <w:pPr>
        <w:pStyle w:val="Heading1"/>
      </w:pPr>
      <w:r>
        <w:t xml:space="preserve">Notebook setup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bookmarkEnd w:id="20"/>
    <w:bookmarkStart w:id="21" w:name="load-data"/>
    <w:p>
      <w:pPr>
        <w:pStyle w:val="Heading2"/>
      </w:pPr>
      <w:r>
        <w:t xml:space="preserve">Load data</w:t>
      </w:r>
    </w:p>
    <w:p>
      <w:pPr>
        <w:pStyle w:val="FirstParagraph"/>
      </w:pPr>
      <w:r>
        <w:t xml:space="preserve">The toy dataset we’ll use in this notebook is</w:t>
      </w:r>
      <w:r>
        <w:t xml:space="preserve"> </w:t>
      </w:r>
      <w:r>
        <w:rPr>
          <w:rStyle w:val="VerbatimChar"/>
        </w:rPr>
        <w:t xml:space="preserve">laptop_price.csv</w:t>
      </w:r>
      <w:r>
        <w:t xml:space="preserve">. It contains information on the price of laptops, as well as the laptops’ core featurs. The source for the dataset is https://www.kaggle.com/datasets/muhammetvarl/laptop-price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"~/githubRepos/data-viz-smm635/data/laptops/laptop_price.csv"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1303 Columns: 13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(10): Company, Product, TypeName, ScreenResolution, Cpu, Ram, Memory, Gp...</w:t>
      </w:r>
      <w:r>
        <w:br/>
      </w:r>
      <w:r>
        <w:rPr>
          <w:rStyle w:val="VerbatimChar"/>
        </w:rPr>
        <w:t xml:space="preserve">dbl  (3): laptop_ID, Inches, Price_euros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 A tibble: 1,303 × 13</w:t>
      </w:r>
      <w:r>
        <w:br/>
      </w:r>
      <w:r>
        <w:rPr>
          <w:rStyle w:val="VerbatimChar"/>
        </w:rPr>
        <w:t xml:space="preserve">   laptop_ID Company Product TypeName Inches ScreenResolution Cpu   Ram   Memory</w:t>
      </w:r>
      <w:r>
        <w:br/>
      </w:r>
      <w:r>
        <w:rPr>
          <w:rStyle w:val="VerbatimChar"/>
        </w:rPr>
        <w:t xml:space="preserve">       &lt;dbl&gt; &lt;chr&gt;   &lt;chr&gt;   &lt;chr&gt;     &lt;dbl&gt; &lt;chr&gt;            &lt;chr&gt; &lt;chr&gt; &lt;chr&gt; </w:t>
      </w:r>
      <w:r>
        <w:br/>
      </w:r>
      <w:r>
        <w:rPr>
          <w:rStyle w:val="VerbatimChar"/>
        </w:rPr>
        <w:t xml:space="preserve"> 1         1 Apple   MacBoo… Ultrabo…   13.3 IPS Panel Retin… Inte… 8GB   128GB…</w:t>
      </w:r>
      <w:r>
        <w:br/>
      </w:r>
      <w:r>
        <w:rPr>
          <w:rStyle w:val="VerbatimChar"/>
        </w:rPr>
        <w:t xml:space="preserve"> 2         2 Apple   Macboo… Ultrabo…   13.3 1440x900         Inte… 8GB   128GB…</w:t>
      </w:r>
      <w:r>
        <w:br/>
      </w:r>
      <w:r>
        <w:rPr>
          <w:rStyle w:val="VerbatimChar"/>
        </w:rPr>
        <w:t xml:space="preserve"> 3         3 HP      250 G6  Notebook   15.6 Full HD 1920x10… Inte… 8GB   256GB…</w:t>
      </w:r>
      <w:r>
        <w:br/>
      </w:r>
      <w:r>
        <w:rPr>
          <w:rStyle w:val="VerbatimChar"/>
        </w:rPr>
        <w:t xml:space="preserve"> 4         4 Apple   MacBoo… Ultrabo…   15.4 IPS Panel Retin… Inte… 16GB  512GB…</w:t>
      </w:r>
      <w:r>
        <w:br/>
      </w:r>
      <w:r>
        <w:rPr>
          <w:rStyle w:val="VerbatimChar"/>
        </w:rPr>
        <w:t xml:space="preserve"> 5         5 Apple   MacBoo… Ultrabo…   13.3 IPS Panel Retin… Inte… 8GB   256GB…</w:t>
      </w:r>
      <w:r>
        <w:br/>
      </w:r>
      <w:r>
        <w:rPr>
          <w:rStyle w:val="VerbatimChar"/>
        </w:rPr>
        <w:t xml:space="preserve"> 6         6 Acer    Aspire… Notebook   15.6 1366x768         AMD … 4GB   500GB…</w:t>
      </w:r>
      <w:r>
        <w:br/>
      </w:r>
      <w:r>
        <w:rPr>
          <w:rStyle w:val="VerbatimChar"/>
        </w:rPr>
        <w:t xml:space="preserve"> 7         7 Apple   MacBoo… Ultrabo…   15.4 IPS Panel Retin… Inte… 16GB  256GB…</w:t>
      </w:r>
      <w:r>
        <w:br/>
      </w:r>
      <w:r>
        <w:rPr>
          <w:rStyle w:val="VerbatimChar"/>
        </w:rPr>
        <w:t xml:space="preserve"> 8         8 Apple   Macboo… Ultrabo…   13.3 1440x900         Inte… 8GB   256GB…</w:t>
      </w:r>
      <w:r>
        <w:br/>
      </w:r>
      <w:r>
        <w:rPr>
          <w:rStyle w:val="VerbatimChar"/>
        </w:rPr>
        <w:t xml:space="preserve"> 9         9 Asus    ZenBoo… Ultrabo…   14   Full HD 1920x10… Inte… 16GB  512GB…</w:t>
      </w:r>
      <w:r>
        <w:br/>
      </w:r>
      <w:r>
        <w:rPr>
          <w:rStyle w:val="VerbatimChar"/>
        </w:rPr>
        <w:t xml:space="preserve">10        10 Acer    Swift 3 Ultrabo…   14   IPS Panel Full … Inte… 8GB   256GB…</w:t>
      </w:r>
      <w:r>
        <w:br/>
      </w:r>
      <w:r>
        <w:rPr>
          <w:rStyle w:val="VerbatimChar"/>
        </w:rPr>
        <w:t xml:space="preserve"># ℹ 1,293 more rows</w:t>
      </w:r>
      <w:r>
        <w:br/>
      </w:r>
      <w:r>
        <w:rPr>
          <w:rStyle w:val="VerbatimChar"/>
        </w:rPr>
        <w:t xml:space="preserve"># ℹ 4 more variables: Gpu &lt;chr&gt;, OpSys &lt;chr&gt;, Weight &lt;chr&gt;, Price_euros &lt;dbl&gt;</w:t>
      </w:r>
    </w:p>
    <w:bookmarkEnd w:id="21"/>
    <w:bookmarkEnd w:id="22"/>
    <w:bookmarkStart w:id="60" w:name="colors"/>
    <w:p>
      <w:pPr>
        <w:pStyle w:val="Heading1"/>
      </w:pPr>
      <w:r>
        <w:t xml:space="preserve">Colors</w:t>
      </w:r>
    </w:p>
    <w:bookmarkStart w:id="43" w:name="Xce12c4912f5a6052c6aef570aa015274d685399"/>
    <w:p>
      <w:pPr>
        <w:pStyle w:val="Heading2"/>
      </w:pPr>
      <w:r>
        <w:t xml:space="preserve">Visual forms’ inner color, boarder color, and transparency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it is possible to alter a visual form’s default color by passing an optional parameter to the geomtric object at hand. Let’s consider a bar chart showing the distribution of laptops across different screen sizes.</w:t>
      </w:r>
      <w:r>
        <w:t xml:space="preserve"> </w:t>
      </w:r>
      <w:hyperlink w:anchor="fig-bas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a chart whose bars exhibit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’s default color. Populating the optional parameter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would alter the chosen visual form’s inner color – see</w:t>
      </w:r>
      <w:r>
        <w:t xml:space="preserve"> </w:t>
      </w:r>
      <w:hyperlink w:anchor="fig-fill">
        <w:r>
          <w:rPr>
            <w:rStyle w:val="Hyperlink"/>
          </w:rPr>
          <w:t xml:space="preserve">Figure 2</w:t>
        </w:r>
      </w:hyperlink>
      <w:r>
        <w:t xml:space="preserve">; the optional parameter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 </w:t>
      </w:r>
      <w:r>
        <w:t xml:space="preserve">affects the visual form’s boarder color – see</w:t>
      </w:r>
      <w:r>
        <w:t xml:space="preserve"> </w:t>
      </w:r>
      <w:hyperlink w:anchor="fig-fillandboard">
        <w:r>
          <w:rPr>
            <w:rStyle w:val="Hyperlink"/>
          </w:rPr>
          <w:t xml:space="preserve">Figure 3</w:t>
        </w:r>
      </w:hyperlink>
      <w:r>
        <w:t xml:space="preserve">. It is also possible to regulate the transparency of the chosen color by fixing the optional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 </w:t>
      </w:r>
      <w:r>
        <w:t xml:space="preserve">parameter – see</w:t>
      </w:r>
      <w:r>
        <w:t xml:space="preserve"> </w:t>
      </w:r>
      <w:hyperlink w:anchor="fig-alpha">
        <w:r>
          <w:rPr>
            <w:rStyle w:val="Hyperlink"/>
          </w:rPr>
          <w:t xml:space="preserve">Figure 4</w:t>
        </w:r>
      </w:hyperlink>
      <w:r>
        <w:t xml:space="preserve">. Note that the smaller is the scalar value you pass to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, the more transparent is the visual form – see</w:t>
      </w:r>
      <w:r>
        <w:t xml:space="preserve"> </w:t>
      </w:r>
      <w:hyperlink w:anchor="fig-alphaagg">
        <w:r>
          <w:rPr>
            <w:rStyle w:val="Hyperlink"/>
          </w:rPr>
          <w:t xml:space="preserve">Figure 5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(Inches)))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bas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olor_and_shapes_files/figure-docx/fig-base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bar chart with default colors</w:t>
            </w:r>
          </w:p>
          <w:bookmarkEnd w:id="26"/>
        </w:tc>
      </w:tr>
    </w:tbl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(Inches)))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fill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olor_and_shapes_files/figure-docx/fig-fill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 bar chart with custom fill color</w:t>
            </w:r>
          </w:p>
          <w:bookmarkEnd w:id="30"/>
        </w:tc>
      </w:tr>
    </w:tbl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(Inches)))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fillandboard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olor_and_shapes_files/figure-docx/fig-fillandboard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 bar chart with custom fill and boarder color</w:t>
            </w:r>
          </w:p>
          <w:bookmarkEnd w:id="34"/>
        </w:tc>
      </w:tr>
    </w:tbl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(Inches)))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alpha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olor_and_shapes_files/figure-docx/fig-alpha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 bar chart with adjusted color transparency</w:t>
            </w:r>
          </w:p>
          <w:bookmarkEnd w:id="38"/>
        </w:tc>
      </w:tr>
    </w:tbl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(Inches)))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alphaag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color_and_shapes_files/figure-docx/fig-alphaagg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A bar chart with alpha = 0.1</w:t>
            </w:r>
          </w:p>
          <w:bookmarkEnd w:id="42"/>
        </w:tc>
      </w:tr>
    </w:tbl>
    <w:bookmarkEnd w:id="43"/>
    <w:bookmarkStart w:id="59" w:name="scales"/>
    <w:p>
      <w:pPr>
        <w:pStyle w:val="Heading2"/>
      </w:pPr>
      <w:r>
        <w:t xml:space="preserve">Scales</w:t>
      </w:r>
    </w:p>
    <w:p>
      <w:pPr>
        <w:pStyle w:val="FirstParagraph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comes with plenty of</w:t>
      </w:r>
      <w:r>
        <w:t xml:space="preserve"> </w:t>
      </w:r>
      <w:hyperlink r:id="rId44">
        <w:r>
          <w:rPr>
            <w:rStyle w:val="Hyperlink"/>
          </w:rPr>
          <w:t xml:space="preserve">color scales and palettes</w:t>
        </w:r>
      </w:hyperlink>
      <w:r>
        <w:t xml:space="preserve"> </w:t>
      </w:r>
      <w:r>
        <w:t xml:space="preserve">that can help discriminate visually various data groups. Let’s suppose to expand on the visualization reported in</w:t>
      </w:r>
      <w:r>
        <w:t xml:space="preserve"> </w:t>
      </w:r>
      <w:hyperlink w:anchor="fig-boxplot">
        <w:r>
          <w:rPr>
            <w:rStyle w:val="Hyperlink"/>
          </w:rPr>
          <w:t xml:space="preserve">Figure 6</w:t>
        </w:r>
      </w:hyperlink>
      <w:r>
        <w:t xml:space="preserve">, dealing with the distribution of laptop price across different screen size groups. Specifically, we want to add another dimension to</w:t>
      </w:r>
      <w:r>
        <w:t xml:space="preserve"> </w:t>
      </w:r>
      <w:hyperlink w:anchor="fig-boxplot">
        <w:r>
          <w:rPr>
            <w:rStyle w:val="Hyperlink"/>
          </w:rPr>
          <w:t xml:space="preserve">Figure 6</w:t>
        </w:r>
      </w:hyperlink>
      <w:r>
        <w:t xml:space="preserve"> </w:t>
      </w:r>
      <w:r>
        <w:t xml:space="preserve">to show how laptop prices change across screen and ram size groups. By default,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will use the</w:t>
      </w:r>
      <w:r>
        <w:t xml:space="preserve"> </w:t>
      </w:r>
      <w:r>
        <w:rPr>
          <w:rStyle w:val="VerbatimChar"/>
        </w:rPr>
        <w:t xml:space="preserve">hue</w:t>
      </w:r>
      <w:r>
        <w:t xml:space="preserve"> </w:t>
      </w:r>
      <w:r>
        <w:t xml:space="preserve">color scale see ―</w:t>
      </w:r>
      <w:r>
        <w:t xml:space="preserve"> </w:t>
      </w:r>
      <w:hyperlink w:anchor="fig-boxplotdefault">
        <w:r>
          <w:rPr>
            <w:rStyle w:val="Hyperlink"/>
          </w:rPr>
          <w:t xml:space="preserve">Figure 7</w:t>
        </w:r>
      </w:hyperlink>
      <w:r>
        <w:t xml:space="preserve">. To adopt a non-default color scale, the optional argument</w:t>
      </w:r>
      <w:r>
        <w:t xml:space="preserve"> </w:t>
      </w:r>
      <w:r>
        <w:rPr>
          <w:rStyle w:val="VerbatimChar"/>
        </w:rPr>
        <w:t xml:space="preserve">scale_color_*</w:t>
      </w:r>
      <w:r>
        <w:t xml:space="preserve"> </w:t>
      </w:r>
      <w:r>
        <w:t xml:space="preserve">must be populated. In</w:t>
      </w:r>
      <w:r>
        <w:t xml:space="preserve"> </w:t>
      </w:r>
      <w:hyperlink w:anchor="fig-boxplotbrewer">
        <w:r>
          <w:rPr>
            <w:rStyle w:val="Hyperlink"/>
          </w:rPr>
          <w:t xml:space="preserve">Figure 8</w:t>
        </w:r>
      </w:hyperlink>
      <w:r>
        <w:t xml:space="preserve">, I adopt a color scale for discrete data, namely</w:t>
      </w:r>
      <w:r>
        <w:t xml:space="preserve"> </w:t>
      </w:r>
      <w:hyperlink r:id="rId44">
        <w:r>
          <w:rPr>
            <w:rStyle w:val="VerbatimChar"/>
          </w:rPr>
          <w:t xml:space="preserve">brewer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Warning</w:t>
      </w:r>
      <w:r>
        <w:t xml:space="preserve">: always ensure to pair discrete (continuous) color scales with discrete (continuous) variables. Otherwise,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will return an error, e.g.,</w:t>
      </w:r>
      <w:r>
        <w:t xml:space="preserve"> </w:t>
      </w:r>
      <w:r>
        <w:rPr>
          <w:rStyle w:val="VerbatimChar"/>
        </w:rPr>
        <w:t xml:space="preserve">Discrete values supplied to continuous scale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(Inches),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Price_euros))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boxplot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color_and_shapes_files/figure-docx/fig-boxplo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Distribution of laptop prices by scree size group</w:t>
            </w:r>
          </w:p>
          <w:bookmarkEnd w:id="48"/>
        </w:tc>
      </w:tr>
    </w:tbl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(Inches),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Price_euros))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Ram))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boxplotdefault"/>
          <w:p>
            <w:pPr>
              <w:pStyle w:val="Compact"/>
              <w:jc w:val="center"/>
            </w:pPr>
            <w:bookmarkStart w:id="52" w:name="fig-boxplotdefault"/>
            <w:r>
              <w:drawing>
                <wp:inline>
                  <wp:extent cx="4620126" cy="3696101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olor_and_shapes_files/figure-docx/fig-boxplotdefault-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53"/>
        </w:tc>
      </w:tr>
    </w:tbl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(Inches),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Price_euros))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Ram))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boxplotbrewer"/>
          <w:p>
            <w:pPr>
              <w:pStyle w:val="Compact"/>
              <w:jc w:val="center"/>
            </w:pPr>
            <w:bookmarkStart w:id="57" w:name="fig-boxplotbrewer"/>
            <w:r>
              <w:drawing>
                <wp:inline>
                  <wp:extent cx="4620126" cy="3696101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color_and_shapes_files/figure-docx/fig-boxplotbrewer-1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58"/>
        </w:tc>
      </w:tr>
    </w:tbl>
    <w:bookmarkEnd w:id="59"/>
    <w:bookmarkEnd w:id="60"/>
    <w:bookmarkStart w:id="73" w:name="shapes"/>
    <w:p>
      <w:pPr>
        <w:pStyle w:val="Heading1"/>
      </w:pPr>
      <w:r>
        <w:t xml:space="preserve">Shapes</w:t>
      </w:r>
    </w:p>
    <w:p>
      <w:pPr>
        <w:pStyle w:val="FirstParagraph"/>
      </w:pPr>
      <w:r>
        <w:t xml:space="preserve">In data visualization, shapes can play a role similar to colors, by representing further data dimensions. For example,</w:t>
      </w:r>
      <w:r>
        <w:t xml:space="preserve"> </w:t>
      </w:r>
      <w:hyperlink w:anchor="fig-colors">
        <w:r>
          <w:rPr>
            <w:rStyle w:val="Hyperlink"/>
          </w:rPr>
          <w:t xml:space="preserve">Figure 9</w:t>
        </w:r>
      </w:hyperlink>
      <w:r>
        <w:t xml:space="preserve"> </w:t>
      </w:r>
      <w:r>
        <w:t xml:space="preserve">and</w:t>
      </w:r>
      <w:r>
        <w:t xml:space="preserve"> </w:t>
      </w:r>
      <w:hyperlink w:anchor="fig-shapes">
        <w:r>
          <w:rPr>
            <w:rStyle w:val="Hyperlink"/>
          </w:rPr>
          <w:t xml:space="preserve">Figure 10</w:t>
        </w:r>
      </w:hyperlink>
      <w:r>
        <w:t xml:space="preserve"> </w:t>
      </w:r>
      <w:r>
        <w:t xml:space="preserve">use color and shapes, respectively, to denote two different data series regarding Apple and Lenovo laptops.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apple_lenovo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(Company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"Lenovo"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apple_lenovo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(cols)))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(Price_euros))</w:t>
      </w:r>
    </w:p>
    <w:p>
      <w:pPr>
        <w:pStyle w:val="SourceCode"/>
      </w:pPr>
      <w:r>
        <w:rPr>
          <w:rStyle w:val="VerbatimChar"/>
        </w:rPr>
        <w:t xml:space="preserve">`summarise()` has grouped output by 'Company'.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(Inches),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ave_price,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(Company)))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color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color_and_shapes_files/figure-docx/fig-colors-1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Colors denote companie</w:t>
            </w:r>
          </w:p>
          <w:bookmarkEnd w:id="64"/>
        </w:tc>
      </w:tr>
    </w:tbl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(Inches),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ave_price,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(Company)))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8" w:name="fig-shape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color_and_shapes_files/figure-docx/fig-shapes-1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10: Shapes denote companies</w:t>
            </w:r>
          </w:p>
          <w:bookmarkEnd w:id="68"/>
        </w:tc>
      </w:tr>
    </w:tbl>
    <w:p>
      <w:pPr>
        <w:pStyle w:val="BodyText"/>
      </w:pPr>
      <w:r>
        <w:t xml:space="preserve">At the same time, one may want to adopt a non-default shape across all data series. That would be the case of</w:t>
      </w:r>
      <w:r>
        <w:t xml:space="preserve"> </w:t>
      </w:r>
      <w:hyperlink w:anchor="fig-changingshapes">
        <w:r>
          <w:rPr>
            <w:rStyle w:val="Hyperlink"/>
          </w:rPr>
          <w:t xml:space="preserve">Figure 11</w:t>
        </w:r>
      </w:hyperlink>
      <w:r>
        <w:t xml:space="preserve">, in which shape</w:t>
      </w:r>
      <w:r>
        <w:t xml:space="preserve"> </w:t>
      </w:r>
      <w:r>
        <w:t xml:space="preserve">‘5’</w:t>
      </w:r>
      <w:r>
        <w:t xml:space="preserve"> </w:t>
      </w:r>
      <w:r>
        <w:t xml:space="preserve">― an empty circle ― replaces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’s default shape.</w:t>
      </w:r>
      <w:r>
        <w:t xml:space="preserve"> </w:t>
      </w:r>
      <w:r>
        <w:rPr>
          <w:b/>
          <w:bCs/>
        </w:rPr>
        <w:t xml:space="preserve">?@fig-ggplot2shapes</w:t>
      </w:r>
      <w:r>
        <w:t xml:space="preserve"> </w:t>
      </w:r>
      <w:r>
        <w:t xml:space="preserve">provides a summary of the shapes available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 their underlying numeric codes.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(Inches),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ave_price,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(Company)))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changingshape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color_and_shapes_files/figure-docx/fig-changingshapes-1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11: A</w:t>
            </w:r>
            <w:r>
              <w:t xml:space="preserve"> </w:t>
            </w:r>
            <w:r>
              <w:rPr>
                <w:rStyle w:val="VerbatimChar"/>
              </w:rPr>
              <w:t xml:space="preserve">geom_point()</w:t>
            </w:r>
            <w:r>
              <w:t xml:space="preserve"> </w:t>
            </w:r>
            <w:r>
              <w:t xml:space="preserve">with a non-default shape</w:t>
            </w:r>
          </w:p>
          <w:bookmarkEnd w:id="72"/>
        </w:tc>
      </w:tr>
    </w:tbl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49" Target="media/rId49.png" /><Relationship Type="http://schemas.openxmlformats.org/officeDocument/2006/relationships/image" Id="rId69" Target="media/rId6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65" Target="media/rId65.png" /><Relationship Type="http://schemas.openxmlformats.org/officeDocument/2006/relationships/hyperlink" Id="rId44" Target="https://ggplot2-book.org/scales-colour#brewer-sca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gplot2-book.org/scales-colour#brewer-sca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colors and shapes in ggplot2</dc:title>
  <dc:creator>Simone Santoni</dc:creator>
  <cp:keywords/>
  <dcterms:created xsi:type="dcterms:W3CDTF">2024-10-31T22:05:29Z</dcterms:created>
  <dcterms:modified xsi:type="dcterms:W3CDTF">2024-10-31T22:05:29Z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notebook illustrates how to change</vt:lpwstr>
  </property>
  <property fmtid="{D5CDD505-2E9C-101B-9397-08002B2CF9AE}" pid="3" name="abstract-title">
    <vt:lpwstr>Synopsis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2024-10-31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True</vt:lpwstr>
  </property>
  <property fmtid="{D5CDD505-2E9C-101B-9397-08002B2CF9AE}" pid="13" name="toc-title">
    <vt:lpwstr>Table of contents</vt:lpwstr>
  </property>
</Properties>
</file>