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 ERGM estimation</w:t>
      </w:r>
    </w:p>
    <w:p>
      <w:pPr>
        <w:pStyle w:val="Author"/>
      </w:pPr>
      <w:r>
        <w:t xml:space="preserve">Simone Santoni</w:t>
      </w:r>
    </w:p>
    <w:p>
      <w:pPr>
        <w:pStyle w:val="Date"/>
      </w:pPr>
      <w:r>
        <w:t xml:space="preserve">2024-11-19</w:t>
      </w:r>
    </w:p>
    <w:p>
      <w:pPr>
        <w:pStyle w:val="AbstractTitle"/>
      </w:pPr>
      <w:r>
        <w:t xml:space="preserve">Synopsis</w:t>
      </w:r>
    </w:p>
    <w:p>
      <w:pPr>
        <w:pStyle w:val="Abstract"/>
      </w:pPr>
      <w:r>
        <w:t xml:space="preserve">This notebook shows how to fit a basic ERGM on a one-mode, directed network dataset</w:t>
      </w:r>
    </w:p>
    <w:bookmarkStart w:id="26" w:name="notebook-setup"/>
    <w:p>
      <w:pPr>
        <w:pStyle w:val="Heading1"/>
      </w:pPr>
      <w:r>
        <w:t xml:space="preserve">Notebook setup</w:t>
      </w:r>
    </w:p>
    <w:bookmarkStart w:id="24" w:name="load-libraries"/>
    <w:p>
      <w:pPr>
        <w:pStyle w:val="Heading2"/>
      </w:pPr>
      <w:r>
        <w:t xml:space="preserve">Load libraries</w:t>
      </w:r>
    </w:p>
    <w:p>
      <w:pPr>
        <w:pStyle w:val="FirstParagraph"/>
      </w:pPr>
      <w:r>
        <w:t xml:space="preserve">We need to load three libraries: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VerbatimChar"/>
          </w:rPr>
          <w:t xml:space="preserve">car</w:t>
        </w:r>
      </w:hyperlink>
      <w:r>
        <w:t xml:space="preserve">, which stands for</w:t>
      </w:r>
      <w:r>
        <w:t xml:space="preserve"> </w:t>
      </w:r>
      <w:r>
        <w:t xml:space="preserve">‘Companion to Applied Regression,’</w:t>
      </w:r>
      <w:r>
        <w:t xml:space="preserve"> </w:t>
      </w:r>
      <w:r>
        <w:t xml:space="preserve">provides utility functions regarding regression models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VerbatimChar"/>
          </w:rPr>
          <w:t xml:space="preserve">sna</w:t>
        </w:r>
      </w:hyperlink>
      <w:r>
        <w:t xml:space="preserve">, a</w:t>
      </w:r>
      <w:r>
        <w:t xml:space="preserve"> </w:t>
      </w:r>
      <w:hyperlink r:id="rId22">
        <w:r>
          <w:rPr>
            <w:rStyle w:val="Hyperlink"/>
          </w:rPr>
          <w:t xml:space="preserve">Statnet</w:t>
        </w:r>
      </w:hyperlink>
      <w:r>
        <w:t xml:space="preserve">’s library, includes many network descriptives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VerbatimChar"/>
          </w:rPr>
          <w:t xml:space="preserve">ergm</w:t>
        </w:r>
      </w:hyperlink>
      <w:r>
        <w:t xml:space="preserve">, another</w:t>
      </w:r>
      <w:r>
        <w:t xml:space="preserve"> </w:t>
      </w:r>
      <w:hyperlink r:id="rId22">
        <w:r>
          <w:rPr>
            <w:rStyle w:val="Hyperlink"/>
          </w:rPr>
          <w:t xml:space="preserve">Statnet</w:t>
        </w:r>
      </w:hyperlink>
      <w:r>
        <w:t xml:space="preserve">’s library, implements ERGMs.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(sna)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(ergm)</w:t>
      </w:r>
    </w:p>
    <w:bookmarkEnd w:id="24"/>
    <w:bookmarkStart w:id="25" w:name="load-data"/>
    <w:p>
      <w:pPr>
        <w:pStyle w:val="Heading2"/>
      </w:pPr>
      <w:r>
        <w:t xml:space="preserve">Load data</w:t>
      </w:r>
    </w:p>
    <w:bookmarkEnd w:id="25"/>
    <w:bookmarkEnd w:id="26"/>
    <w:bookmarkStart w:id="46" w:name="ergm-101"/>
    <w:p>
      <w:pPr>
        <w:pStyle w:val="Heading1"/>
      </w:pPr>
      <w:r>
        <w:t xml:space="preserve">ERGM 101</w:t>
      </w:r>
    </w:p>
    <w:p>
      <w:pPr>
        <w:pStyle w:val="FirstParagraph"/>
      </w:pPr>
      <w:r>
        <w:rPr>
          <w:b/>
          <w:bCs/>
        </w:rPr>
        <w:t xml:space="preserve">What is the objective of ERGMs?</w:t>
      </w:r>
    </w:p>
    <w:p>
      <w:pPr>
        <w:pStyle w:val="BodyText"/>
      </w:pPr>
      <w:r>
        <w:t xml:space="preserve">ERGMs test how and to what extent an observed network exhibits certain tie formation mechanisms. Example of tie formation mechanisms include (but they are not limited to):</w:t>
      </w:r>
    </w:p>
    <w:p>
      <w:pPr>
        <w:pStyle w:val="Compact"/>
        <w:numPr>
          <w:ilvl w:val="0"/>
          <w:numId w:val="1002"/>
        </w:numPr>
      </w:pPr>
      <w:r>
        <w:t xml:space="preserve">In-degree centrality, the tendency of a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to receive ties</w:t>
      </w:r>
    </w:p>
    <w:p>
      <w:pPr>
        <w:pStyle w:val="Compact"/>
        <w:numPr>
          <w:ilvl w:val="0"/>
          <w:numId w:val="1002"/>
        </w:numPr>
      </w:pPr>
      <w:r>
        <w:t xml:space="preserve">Out-degree centrality, the tendency of a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to send ties</w:t>
      </w:r>
    </w:p>
    <w:p>
      <w:pPr>
        <w:pStyle w:val="Compact"/>
        <w:numPr>
          <w:ilvl w:val="0"/>
          <w:numId w:val="1002"/>
        </w:numPr>
      </w:pPr>
      <w:r>
        <w:t xml:space="preserve">Reciprocity, a</w:t>
      </w:r>
      <w:r>
        <w:t xml:space="preserve"> </w:t>
      </w:r>
      <w:r>
        <w:rPr>
          <w:i/>
          <w:iCs/>
        </w:rPr>
        <w:t xml:space="preserve">dyadic</w:t>
      </w:r>
      <w:r>
        <w:t xml:space="preserve"> </w:t>
      </w:r>
      <w:r>
        <w:t xml:space="preserve">tendency such that</w:t>
      </w:r>
      <w:r>
        <w:t xml:space="preserve"> </w:t>
      </w:r>
      <m:oMath>
        <m:r>
          <m:t>i</m:t>
        </m:r>
        <m:r>
          <m:rPr>
            <m:sty m:val="p"/>
          </m:rPr>
          <m:t>→</m:t>
        </m:r>
        <m:r>
          <m:t>j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j</m:t>
        </m:r>
        <m:r>
          <m:rPr>
            <m:sty m:val="p"/>
          </m:rPr>
          <m:t>→</m:t>
        </m:r>
        <m:r>
          <m:t>i</m:t>
        </m:r>
      </m:oMath>
    </w:p>
    <w:p>
      <w:pPr>
        <w:pStyle w:val="Compact"/>
        <w:numPr>
          <w:ilvl w:val="0"/>
          <w:numId w:val="1002"/>
        </w:numPr>
      </w:pPr>
      <w:r>
        <w:t xml:space="preserve">Transitive closure, a</w:t>
      </w:r>
      <w:r>
        <w:t xml:space="preserve"> </w:t>
      </w:r>
      <w:r>
        <w:rPr>
          <w:i/>
          <w:iCs/>
        </w:rPr>
        <w:t xml:space="preserve">triadic</w:t>
      </w:r>
      <w:r>
        <w:t xml:space="preserve"> </w:t>
      </w:r>
      <w:r>
        <w:t xml:space="preserve">tendency such that i.e.,</w:t>
      </w:r>
      <w:r>
        <w:t xml:space="preserve"> </w:t>
      </w:r>
      <m:oMath>
        <m:r>
          <m:t>i</m:t>
        </m:r>
        <m:r>
          <m:rPr>
            <m:sty m:val="p"/>
          </m:rPr>
          <m:t>→</m:t>
        </m:r>
        <m:r>
          <m:t>j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j</m:t>
        </m:r>
        <m:r>
          <m:rPr>
            <m:sty m:val="p"/>
          </m:rPr>
          <m:t>→</m:t>
        </m:r>
        <m:r>
          <m:t>w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i</m:t>
        </m:r>
        <m:r>
          <m:rPr>
            <m:sty m:val="p"/>
          </m:rPr>
          <m:t>→</m:t>
        </m:r>
        <m:r>
          <m:t>w</m:t>
        </m:r>
      </m:oMath>
    </w:p>
    <w:p>
      <w:pPr>
        <w:pStyle w:val="Compact"/>
        <w:numPr>
          <w:ilvl w:val="0"/>
          <w:numId w:val="1002"/>
        </w:numPr>
      </w:pPr>
      <w:r>
        <w:t xml:space="preserve">Balance, the tendency for two nodes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to share alters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</w:p>
    <w:p>
      <w:pPr>
        <w:pStyle w:val="Compact"/>
        <w:numPr>
          <w:ilvl w:val="0"/>
          <w:numId w:val="1002"/>
        </w:numPr>
      </w:pPr>
      <w:r>
        <w:t xml:space="preserve">Node attributes, i.e., node</w:t>
      </w:r>
      <w:r>
        <w:t xml:space="preserve"> </w:t>
      </w:r>
      <m:oMath>
        <m:r>
          <m:t>i</m:t>
        </m:r>
      </m:oMath>
      <w:r>
        <w:t xml:space="preserve">’s qualities</w:t>
      </w:r>
    </w:p>
    <w:p>
      <w:pPr>
        <w:pStyle w:val="Compact"/>
        <w:numPr>
          <w:ilvl w:val="0"/>
          <w:numId w:val="1002"/>
        </w:numPr>
      </w:pPr>
      <w:r>
        <w:t xml:space="preserve">Dyadic attributes, i.e., the similarity (or differences) in nodes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qualities</w:t>
      </w:r>
    </w:p>
    <w:p>
      <w:pPr>
        <w:pStyle w:val="FirstParagraph"/>
      </w:pPr>
      <w:r>
        <w:rPr>
          <w:b/>
          <w:bCs/>
        </w:rPr>
        <w:t xml:space="preserve">What is the intuition behind ERGMs?</w:t>
      </w:r>
    </w:p>
    <w:p>
      <w:pPr>
        <w:pStyle w:val="BodyText"/>
      </w:pPr>
      <w:r>
        <w:t xml:space="preserve">ERGMs consider observed networks as mixtures of network effects</w:t>
      </w:r>
    </w:p>
    <w:bookmarkStart w:id="27" w:name="the-general-form-of-ergm"/>
    <w:p>
      <w:pPr>
        <w:pStyle w:val="Heading2"/>
      </w:pPr>
      <w:r>
        <w:t xml:space="preserve">The General Form of ERGM</w:t>
      </w:r>
    </w:p>
    <w:p>
      <w:pPr>
        <w:pStyle w:val="FirstParagraph"/>
      </w:pPr>
      <w:r>
        <w:t xml:space="preserve">ERGMs estimate the probabilities that the observed network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comes from the class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based on a set of endogenous and exogenous tie formation explanations (aka</w:t>
      </w:r>
      <w:r>
        <w:t xml:space="preserve"> </w:t>
      </w:r>
      <w:r>
        <w:t xml:space="preserve">‘model effects’</w:t>
      </w:r>
      <w:r>
        <w:t xml:space="preserve">). ERGM’s general form is the following: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p>
          <m:e>
            <m:r>
              <m:t>θ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is the vector of regression coefficients regarding the model effects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, and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is the summation of the numerator’s value over the set of all possible networks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To better understand ERGM’s general form, we can dispense the numerator of the previous equation as follows:</w:t>
      </w:r>
    </w:p>
    <w:p>
      <w:pPr>
        <w:pStyle w:val="BodyText"/>
      </w:pPr>
    </w:p>
    <w:p>
      <w:pPr>
        <w:pStyle w:val="BodyText"/>
      </w:pPr>
      <w:r>
        <w:t xml:space="preserve">This equation highlights that the probability of observing a particular network in a set of networks―e.g., ten-node networks exhibiting significant in-degree popularity and reciprocity―as a function of many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. We can also dispense the equation in terms of the log odds of an edge: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δ</m:t>
        </m:r>
        <m:d>
          <m:dPr>
            <m:begChr m:val="["/>
            <m:endChr m:val="]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,</m:t>
                </m:r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is the</w:t>
      </w:r>
      <w:r>
        <w:t xml:space="preserve"> </w:t>
      </w:r>
      <w:r>
        <w:t xml:space="preserve">‘change’</w:t>
      </w:r>
      <w:r>
        <w:t xml:space="preserve"> </w:t>
      </w:r>
      <w:r>
        <w:t xml:space="preserve">statistic, that is, the change in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t xml:space="preserve">when the value of only the</w:t>
      </w:r>
      <w:r>
        <w:t xml:space="preserve"> </w:t>
      </w:r>
      <m:oMath>
        <m:r>
          <m:t>i</m:t>
        </m:r>
        <m:r>
          <m:t>j</m:t>
        </m:r>
      </m:oMath>
      <w:r>
        <w:t xml:space="preserve"> </w:t>
      </w:r>
      <w:r>
        <w:t xml:space="preserve">dyad is changed from 0 to 1.</w:t>
      </w:r>
    </w:p>
    <w:bookmarkEnd w:id="27"/>
    <w:bookmarkStart w:id="40" w:name="examples-of-model-effects"/>
    <w:p>
      <w:pPr>
        <w:pStyle w:val="Heading2"/>
      </w:pPr>
      <w:r>
        <w:t xml:space="preserve">Examples of Model Effects</w:t>
      </w:r>
    </w:p>
    <w:bookmarkStart w:id="39" w:name="fig-model-effects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32" w:name="fig-A"/>
                <w:p>
                  <w:pPr>
                    <w:pStyle w:val="Compact"/>
                    <w:jc w:val="center"/>
                    <w:jc w:val="left"/>
                  </w:pPr>
                  <w:bookmarkStart w:id="31" w:name="fig-A"/>
                  <w:r>
                    <w:drawing>
                      <wp:inline>
                        <wp:extent cx="2971800" cy="4219861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s/model_effects_1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42198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1"/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</w:p>
                <w:bookmarkEnd w:id="32"/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37" w:name="fig-B"/>
                <w:p>
                  <w:pPr>
                    <w:pStyle w:val="Compact"/>
                    <w:jc w:val="center"/>
                    <w:jc w:val="left"/>
                  </w:pPr>
                  <w:bookmarkStart w:id="36" w:name="fig-B"/>
                  <w:r>
                    <w:drawing>
                      <wp:inline>
                        <wp:extent cx="2971800" cy="2981355"/>
                        <wp:effectExtent b="0" l="0" r="0" t="0"/>
                        <wp:docPr descr="" title="" id="3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s/model_effects_2.png" id="3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981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6"/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</w:p>
                <w:bookmarkEnd w:id="37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Model Effects reported in</w:t>
      </w:r>
      <w:r>
        <w:t xml:space="preserve"> </w:t>
      </w:r>
      <w:hyperlink r:id="rId38">
        <w:r>
          <w:rPr>
            <w:rStyle w:val="Hyperlink"/>
          </w:rPr>
          <w:t xml:space="preserve">Rawlings et al. (2023, pp. 322-323)</w:t>
        </w:r>
      </w:hyperlink>
    </w:p>
    <w:bookmarkEnd w:id="39"/>
    <w:bookmarkEnd w:id="40"/>
    <w:bookmarkStart w:id="45" w:name="X85ceeac743d9dc210a5c8555ab384c5a7d6eae7"/>
    <w:p>
      <w:pPr>
        <w:pStyle w:val="Heading2"/>
      </w:pPr>
      <w:r>
        <w:t xml:space="preserve">How Do I Compute the Change Statistic</w:t>
      </w:r>
      <w:r>
        <w:t xml:space="preserve"> </w:t>
      </w:r>
      <m:oMath>
        <m:r>
          <m:t>δ</m:t>
        </m:r>
        <m:d>
          <m:dPr>
            <m:begChr m:val="["/>
            <m:endChr m:val="]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,</m:t>
                </m:r>
                <m:r>
                  <m:t>X</m:t>
                </m:r>
              </m:e>
            </m:d>
          </m:e>
        </m:d>
      </m:oMath>
      <w:r>
        <w:t xml:space="preserve">?</w:t>
      </w:r>
    </w:p>
    <w:p>
      <w:pPr>
        <w:pStyle w:val="FirstParagraph"/>
      </w:pPr>
      <w:r>
        <w:t xml:space="preserve">ERGM libraries, like R’s</w:t>
      </w:r>
      <w:r>
        <w:t xml:space="preserve"> </w:t>
      </w:r>
      <w:r>
        <w:rPr>
          <w:rStyle w:val="VerbatimChar"/>
        </w:rPr>
        <w:t xml:space="preserve">ergm</w:t>
      </w:r>
      <w:r>
        <w:t xml:space="preserve">, do that for you. However, it is important that you familiarize yourself with computing the change statistic</w:t>
      </w:r>
      <w:r>
        <w:t xml:space="preserve"> </w:t>
      </w:r>
      <m:oMath>
        <m:r>
          <m:t>δ</m:t>
        </m:r>
        <m:d>
          <m:dPr>
            <m:begChr m:val="["/>
            <m:endChr m:val="]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,</m:t>
                </m:r>
                <m:r>
                  <m:t>X</m:t>
                </m:r>
              </m:e>
            </m:d>
          </m:e>
        </m:d>
      </m:oMath>
      <w:r>
        <w:t xml:space="preserve">. Here are two key premises:</w:t>
      </w:r>
    </w:p>
    <w:p>
      <w:pPr>
        <w:pStyle w:val="Compact"/>
        <w:numPr>
          <w:ilvl w:val="0"/>
          <w:numId w:val="1003"/>
        </w:numPr>
      </w:pPr>
      <w:r>
        <w:t xml:space="preserve">Mainly, the procedure aims to create the regressors for the above-displayed Logit model. For example, one may want to regress the likelihood to observe a tie from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against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and/or</w:t>
      </w:r>
      <w:r>
        <w:t xml:space="preserve"> </w:t>
      </w:r>
      <m:oMath>
        <m:r>
          <m:t>j</m:t>
        </m:r>
      </m:oMath>
      <w:r>
        <w:t xml:space="preserve">’s degree, the existence of the tie from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i</m:t>
        </m:r>
      </m:oMath>
      <w:r>
        <w:t xml:space="preserve">, the fact that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are involved in a triad to which a third node</w:t>
      </w:r>
      <w:r>
        <w:t xml:space="preserve"> </w:t>
      </w:r>
      <m:oMath>
        <m:r>
          <m:t>w</m:t>
        </m:r>
      </m:oMath>
      <w:r>
        <w:t xml:space="preserve">, and so on and so forth</w:t>
      </w:r>
    </w:p>
    <w:p>
      <w:pPr>
        <w:pStyle w:val="Compact"/>
        <w:numPr>
          <w:ilvl w:val="0"/>
          <w:numId w:val="1003"/>
        </w:numPr>
      </w:pPr>
      <w:r>
        <w:t xml:space="preserve">Overall, the procedure consists of a</w:t>
      </w:r>
      <w:r>
        <w:t xml:space="preserve"> </w:t>
      </w:r>
      <w:r>
        <w:t xml:space="preserve">‘thought experiment.’</w:t>
      </w:r>
      <w:r>
        <w:t xml:space="preserve"> </w:t>
      </w:r>
      <w:r>
        <w:t xml:space="preserve">For each tie involving a pair of nodes</w:t>
      </w:r>
      <w:r>
        <w:t xml:space="preserve"> </w:t>
      </w:r>
      <m:oMath>
        <m:r>
          <m:rPr>
            <m:sty m:val="p"/>
          </m:rPr>
          <m:t>{</m:t>
        </m:r>
        <m:r>
          <m:t>i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}</m:t>
        </m:r>
      </m:oMath>
      <w:r>
        <w:t xml:space="preserve">, we ask ourselves:</w:t>
      </w:r>
    </w:p>
    <w:p>
      <w:pPr>
        <w:pStyle w:val="Compact"/>
        <w:numPr>
          <w:ilvl w:val="1"/>
          <w:numId w:val="1004"/>
        </w:numPr>
      </w:pPr>
      <w:r>
        <w:t xml:space="preserve">“Does adding the tie from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make the relationship</w:t>
      </w:r>
      <w:r>
        <w:t xml:space="preserve"> </w:t>
      </w:r>
      <w:r>
        <w:t xml:space="preserve">‘reciprocal’</w:t>
      </w:r>
      <w:r>
        <w:t xml:space="preserve">, that is,</w:t>
      </w:r>
      <w:r>
        <w:t xml:space="preserve"> </w:t>
      </w:r>
      <m:oMath>
        <m:r>
          <m:t>i</m:t>
        </m:r>
        <m:r>
          <m:rPr>
            <m:sty m:val="p"/>
          </m:rPr>
          <m:t>→</m:t>
        </m:r>
        <m:r>
          <m:t>j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j</m:t>
        </m:r>
        <m:r>
          <m:rPr>
            <m:sty m:val="p"/>
          </m:rPr>
          <m:t>→</m:t>
        </m:r>
        <m:r>
          <m:t>i</m:t>
        </m:r>
      </m:oMath>
      <w:r>
        <w:t xml:space="preserve">?”</w:t>
      </w:r>
    </w:p>
    <w:p>
      <w:pPr>
        <w:pStyle w:val="Compact"/>
        <w:numPr>
          <w:ilvl w:val="1"/>
          <w:numId w:val="1004"/>
        </w:numPr>
      </w:pPr>
      <w:r>
        <w:t xml:space="preserve">“Does adding the tie from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make the triad involving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j</m:t>
        </m:r>
      </m:oMath>
      <w:r>
        <w:t xml:space="preserve">, and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transitive?”</w:t>
      </w:r>
    </w:p>
    <w:p>
      <w:pPr>
        <w:pStyle w:val="Compact"/>
        <w:numPr>
          <w:ilvl w:val="1"/>
          <w:numId w:val="1004"/>
        </w:numPr>
      </w:pPr>
      <w:r>
        <w:t xml:space="preserve">“Is the tie from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involving two similar (equivalent) or dissimilar (different) nodes”</w:t>
      </w:r>
    </w:p>
    <w:p>
      <w:pPr>
        <w:pStyle w:val="FirstParagraph"/>
      </w:pPr>
      <w:r>
        <w:t xml:space="preserve">The below-displayed figure illustrates this kind of thought experiment visually. The algorithm will replicate the thought experiment for us, iterating over all possible pairs of node ${i, j} creating the input for the Logit regression. The final dataset will have</w:t>
      </w:r>
      <w:r>
        <w:t xml:space="preserve"> </w:t>
      </w:r>
      <m:oMath>
        <m:r>
          <m:t>N</m:t>
        </m:r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rows (aka ties) and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columns, where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selected model effects. The</w:t>
      </w:r>
      <w:r>
        <w:t xml:space="preserve"> </w:t>
      </w:r>
      <m:oMath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signifies the column with the dependent variable information (aka, whether a tie is present or absent).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thought-exp"/>
          <w:p>
            <w:pPr>
              <w:pStyle w:val="Compact"/>
              <w:jc w:val="center"/>
            </w:pPr>
            <w:r>
              <w:drawing>
                <wp:inline>
                  <wp:extent cx="5334000" cy="2812108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gs/thought_ex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8121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Thought experiments regarding the impact of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→</m:t>
              </m:r>
              <m:r>
                <m:t>j</m:t>
              </m:r>
            </m:oMath>
            <w:r>
              <w:t xml:space="preserve"> </w:t>
            </w:r>
            <w:r>
              <w:t xml:space="preserve">on model effects. Source is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Rawlings et al. (2023, p. 320)</w:t>
              </w:r>
            </w:hyperlink>
          </w:p>
          <w:bookmarkEnd w:id="44"/>
        </w:tc>
      </w:tr>
    </w:tbl>
    <w:bookmarkEnd w:id="45"/>
    <w:bookmarkEnd w:id="46"/>
    <w:bookmarkStart w:id="47" w:name="arrange-network-data"/>
    <w:p>
      <w:pPr>
        <w:pStyle w:val="Heading1"/>
      </w:pPr>
      <w:r>
        <w:t xml:space="preserve">Arrange network data</w:t>
      </w:r>
    </w:p>
    <w:bookmarkEnd w:id="47"/>
    <w:bookmarkStart w:id="48" w:name="ergm-estimation"/>
    <w:p>
      <w:pPr>
        <w:pStyle w:val="Heading1"/>
      </w:pPr>
      <w:r>
        <w:t xml:space="preserve">ERGM estimation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hyperlink" Id="rId23" Target="" TargetMode="External" /><Relationship Type="http://schemas.openxmlformats.org/officeDocument/2006/relationships/hyperlink" Id="rId20" Target="https://cran.r-project.org/web/packages/car/car.pdf" TargetMode="External" /><Relationship Type="http://schemas.openxmlformats.org/officeDocument/2006/relationships/hyperlink" Id="rId21" Target="https://cran.r-project.org/web/packages/sna/index.html" TargetMode="External" /><Relationship Type="http://schemas.openxmlformats.org/officeDocument/2006/relationships/hyperlink" Id="rId22" Target="https://statnet.org/" TargetMode="External" /><Relationship Type="http://schemas.openxmlformats.org/officeDocument/2006/relationships/hyperlink" Id="rId38" Target="https://www.cambridge.org/core/books/network-analysis/C9202FD5420BE99225FEED4B6214DBB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0" Target="https://cran.r-project.org/web/packages/car/car.pdf" TargetMode="External" /><Relationship Type="http://schemas.openxmlformats.org/officeDocument/2006/relationships/hyperlink" Id="rId21" Target="https://cran.r-project.org/web/packages/sna/index.html" TargetMode="External" /><Relationship Type="http://schemas.openxmlformats.org/officeDocument/2006/relationships/hyperlink" Id="rId22" Target="https://statnet.org/" TargetMode="External" /><Relationship Type="http://schemas.openxmlformats.org/officeDocument/2006/relationships/hyperlink" Id="rId38" Target="https://www.cambridge.org/core/books/network-analysis/C9202FD5420BE99225FEED4B6214DBB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ERGM estimation</dc:title>
  <dc:creator>Simone Santoni</dc:creator>
  <cp:keywords/>
  <dcterms:created xsi:type="dcterms:W3CDTF">2024-11-19T21:15:47Z</dcterms:created>
  <dcterms:modified xsi:type="dcterms:W3CDTF">2024-11-19T21:15:47Z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notebook shows how to fit a basic ERGM on a one-mode, directed network dataset</vt:lpwstr>
  </property>
  <property fmtid="{D5CDD505-2E9C-101B-9397-08002B2CF9AE}" pid="3" name="abstract-title">
    <vt:lpwstr>Synopsis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ate">
    <vt:lpwstr>2024-11-19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