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both"/>
      </w:pPr>
      <w:r>
        <w:rPr>
          <w:rFonts w:ascii="Arial" w:cs="Arial" w:eastAsia="Arial" w:hAnsi="Arial"/>
          <w:b/>
          <w:bCs/>
          <w:color w:val="1F3864"/>
          <w:sz w:val="52"/>
          <w:szCs w:val="52"/>
        </w:rPr>
        <w:t xml:space="preserve">KORA</w:t>
      </w:r>
    </w:p>
    <w:p>
      <w:pPr>
        <w:spacing w:after="60" w:before="0"/>
        <w:jc w:val="both"/>
      </w:pPr>
      <w:r>
        <w:rPr>
          <w:rFonts w:ascii="Arial" w:cs="Arial" w:eastAsia="Arial" w:hAnsi="Arial"/>
          <w:b/>
          <w:bCs/>
          <w:color w:val="2E75B6"/>
          <w:sz w:val="30"/>
          <w:szCs w:val="30"/>
        </w:rPr>
        <w:t xml:space="preserve">Economic &amp; Financial White Paper</w:t>
      </w:r>
    </w:p>
    <w:p>
      <w:pPr>
        <w:spacing w:after="120" w:before="0"/>
        <w:jc w:val="both"/>
      </w:pPr>
      <w:r>
        <w:rPr>
          <w:rFonts w:ascii="Arial" w:cs="Arial" w:eastAsia="Arial" w:hAnsi="Arial"/>
          <w:i/>
          <w:iCs/>
          <w:color w:val="595959"/>
          <w:sz w:val="20"/>
          <w:szCs w:val="20"/>
        </w:rPr>
        <w:t xml:space="preserve">Architettura economica, ricavi, fondi di terzi, SVAM, categorie fiscali, guardrails e modello di sostenibilità.</w:t>
      </w:r>
    </w:p>
    <w:p>
      <w:pPr>
        <w:spacing w:after="80" w:before="0"/>
        <w:jc w:val="both"/>
      </w:pPr>
      <w:r>
        <w:rPr>
          <w:rFonts w:ascii="Arial" w:cs="Arial" w:eastAsia="Arial" w:hAnsi="Arial"/>
          <w:color w:val="888888"/>
          <w:sz w:val="17"/>
          <w:szCs w:val="17"/>
        </w:rPr>
        <w:t xml:space="preserve">Versione 2.0  ·  Documento riservato  ·  Advisor / Founder / Investor DD</w:t>
      </w:r>
    </w:p>
    <w:p>
      <w:pPr>
        <w:spacing w:after="400" w:before="0"/>
        <w:jc w:val="both"/>
      </w:pPr>
      <w:r>
        <w:rPr>
          <w:rFonts w:ascii="Arial" w:cs="Arial" w:eastAsia="Arial" w:hAnsi="Arial"/>
          <w:i/>
          <w:iCs/>
          <w:color w:val="888888"/>
          <w:sz w:val="16"/>
          <w:szCs w:val="16"/>
        </w:rPr>
        <w:t xml:space="preserve">Tutte le qualifiche fiscali, legali, contrattuali e regolatorie riflettono il modello operativo desiderato. Non costituiscono parere professionale. Richiedono validazione da consulenti abilitati prima dell'avvio operativo.</w:t>
      </w:r>
    </w:p>
    <w:p>
      <w:r>
        <w:br w:type="page"/>
      </w:r>
    </w:p>
    <w:p>
      <w:pPr>
        <w:pBdr>
          <w:bottom w:val="single" w:color="2E75B6" w:sz="6" w:space="1"/>
        </w:pBdr>
        <w:spacing w:after="200" w:before="400"/>
      </w:pPr>
      <w:r>
        <w:rPr>
          <w:rFonts w:ascii="Arial" w:cs="Arial" w:eastAsia="Arial" w:hAnsi="Arial"/>
          <w:b/>
          <w:bCs/>
          <w:color w:val="1F3864"/>
          <w:sz w:val="30"/>
          <w:szCs w:val="30"/>
        </w:rPr>
        <w:t xml:space="preserve">1. Executive Summary</w:t>
      </w:r>
    </w:p>
    <w:p>
      <w:pPr>
        <w:spacing w:after="80" w:before="60"/>
        <w:jc w:val="both"/>
      </w:pPr>
      <w:r>
        <w:rPr>
          <w:rFonts w:ascii="Arial" w:cs="Arial" w:eastAsia="Arial" w:hAnsi="Arial"/>
          <w:sz w:val="20"/>
          <w:szCs w:val="20"/>
        </w:rPr>
        <w:t xml:space="preserve">KORA è una società italiana che sviluppa e commercializza una piattaforma software B2B e B2C per la misurazione, l'orchestrazione e la governance dell'impatto del capitale umano. Il modello economico è strutturalmente diverso da quello di un welfare provider tradizionale, di un intermediario finanziario o di un provider di pagamenti.</w:t>
      </w:r>
    </w:p>
    <w:p>
      <w:pPr>
        <w:spacing w:after="120" w:before="120"/>
        <w:jc w:val="center"/>
      </w:pPr>
      <w:r>
        <w:rPr>
          <w:rFonts w:ascii="Arial" w:cs="Arial" w:eastAsia="Arial" w:hAnsi="Arial"/>
          <w:b/>
          <w:bCs/>
          <w:color w:val="1F3864"/>
          <w:sz w:val="20"/>
          <w:szCs w:val="20"/>
        </w:rPr>
        <w:t xml:space="preserve">KORA monetizza l'orchestrazione e la governance dell'impatto, non il transito dei fondi.</w:t>
      </w:r>
    </w:p>
    <w:p>
      <w:pPr>
        <w:spacing w:after="80" w:before="60"/>
        <w:jc w:val="both"/>
      </w:pPr>
      <w:r>
        <w:rPr>
          <w:rFonts w:ascii="Arial" w:cs="Arial" w:eastAsia="Arial" w:hAnsi="Arial"/>
          <w:sz w:val="20"/>
          <w:szCs w:val="20"/>
        </w:rPr>
        <w:t xml:space="preserve">Il principio economico fondamentale del modello è la separazione rigorosa tra due grandezze strutturalmente diverse: (a) i ricavi propri di KORA — le KORA Fees — generati dalla vendita di software, servizi professionali, orchestrazione, reporting e governance; e (b) i fondi di terzi che la piattaforma orchestra — i Funds Under Orchestration (FUO) — che sono budget welfare aziendali, top-up volontari dei lavoratori e altri flussi non di proprietà di KORA, che non transitano dal conto operativo KORA e non costituiscono ricavo.</w:t>
      </w:r>
    </w:p>
    <w:p>
      <w:pPr>
        <w:spacing w:after="80" w:before="60"/>
        <w:jc w:val="both"/>
      </w:pPr>
      <w:r>
        <w:rPr>
          <w:rFonts w:ascii="Arial" w:cs="Arial" w:eastAsia="Arial" w:hAnsi="Arial"/>
          <w:sz w:val="20"/>
          <w:szCs w:val="20"/>
        </w:rPr>
        <w:t xml:space="preserve">Confondere le due grandezze — anche solo nei materiali commerciali o investor — espone KORA a tre rischi strutturalmente severi: riqualificazione fiscale dei FUO come ricavi propri (IVA al 22% sull'intero transato + sanzioni); riqualificazione regolatoria come istituto di pagamento de facto (obbligo di autorizzazione PSD2, capitale regolamentare); perdita del beneficio fiscale per il cliente azienda (welfare riclassificato come retribuzione imponibile). Nessuno dei tre è gestibile ex post: la separazione è un requisito architetturale, non un'opzione.</w:t>
      </w:r>
    </w:p>
    <w:p>
      <w:pPr>
        <w:spacing w:after="100" w:before="200"/>
      </w:pPr>
      <w:r>
        <w:rPr>
          <w:rFonts w:ascii="Arial" w:cs="Arial" w:eastAsia="Arial" w:hAnsi="Arial"/>
          <w:b/>
          <w:bCs/>
          <w:color w:val="1F3864"/>
          <w:sz w:val="21"/>
          <w:szCs w:val="21"/>
        </w:rPr>
        <w:t xml:space="preserve">Cosa è KORA economicamente</w:t>
      </w:r>
    </w:p>
    <w:p>
      <w:pPr>
        <w:spacing w:after="80" w:before="60"/>
        <w:jc w:val="both"/>
      </w:pPr>
      <w:r>
        <w:rPr>
          <w:rFonts w:ascii="Arial" w:cs="Arial" w:eastAsia="Arial" w:hAnsi="Arial"/>
          <w:sz w:val="20"/>
          <w:szCs w:val="20"/>
        </w:rPr>
        <w:t xml:space="preserve">KORA è simultaneamente: (1) editore di software che vende abbonamenti SaaS e servizi professionali; (2) Program Operator che gestisce programmi welfare-impact per conto delle aziende clienti; (3) centralizzatore amministrativo che riduce il burden procurement delle aziende enterprise attraverso il Single Vendor Administrative Model (SVAM); (4) garante metodologico della qualità del network di partner tramite advisor accreditati; (5) layer di controllo fiscale automatico tramite il Fiscal Guardrails Engine.</w:t>
      </w:r>
    </w:p>
    <w:p>
      <w:pPr>
        <w:spacing w:after="100" w:before="200"/>
      </w:pPr>
      <w:r>
        <w:rPr>
          <w:rFonts w:ascii="Arial" w:cs="Arial" w:eastAsia="Arial" w:hAnsi="Arial"/>
          <w:b/>
          <w:bCs/>
          <w:color w:val="1F3864"/>
          <w:sz w:val="21"/>
          <w:szCs w:val="21"/>
        </w:rPr>
        <w:t xml:space="preserve">Il Single Vendor Administrative Model — perché è centrale</w:t>
      </w:r>
    </w:p>
    <w:p>
      <w:pPr>
        <w:spacing w:after="80" w:before="60"/>
        <w:jc w:val="both"/>
      </w:pPr>
      <w:r>
        <w:rPr>
          <w:rFonts w:ascii="Arial" w:cs="Arial" w:eastAsia="Arial" w:hAnsi="Arial"/>
          <w:sz w:val="20"/>
          <w:szCs w:val="20"/>
        </w:rPr>
        <w:t xml:space="preserve">Il principale ostacolo all'adozione enterprise di KORA non è tecnico né metodologico: è amministrativo-procurement. Un'azienda con 50–100 partner nel network non può onboardare individualmente ogni partner come fornitore separato nel proprio sistema ERP. Il SVAM risolve questo problema posizionando KORA come unica interfaccia amministrativa dell'azienda: un fornitore, un contratto, un welfare statement. I partner restano prestatori effettivi dei servizi; l'istituto di pagamento partner custodisce ed esegue i flussi; il budget welfare non diventa mai ricavo KORA.</w:t>
      </w:r>
    </w:p>
    <w:p>
      <w:pPr>
        <w:spacing w:after="100" w:before="200"/>
      </w:pPr>
      <w:r>
        <w:rPr>
          <w:rFonts w:ascii="Arial" w:cs="Arial" w:eastAsia="Arial" w:hAnsi="Arial"/>
          <w:b/>
          <w:bCs/>
          <w:color w:val="1F3864"/>
          <w:sz w:val="21"/>
          <w:szCs w:val="21"/>
        </w:rPr>
        <w:t xml:space="preserve">Il layer fiscale — perché è necessario</w:t>
      </w:r>
    </w:p>
    <w:p>
      <w:pPr>
        <w:spacing w:after="80" w:before="60"/>
        <w:jc w:val="both"/>
      </w:pPr>
      <w:r>
        <w:rPr>
          <w:rFonts w:ascii="Arial" w:cs="Arial" w:eastAsia="Arial" w:hAnsi="Arial"/>
          <w:sz w:val="20"/>
          <w:szCs w:val="20"/>
        </w:rPr>
        <w:t xml:space="preserve">KORA può orchestrare nine categorie di fondi e azioni aziendali, dal welfare ex art. 51 TUIR al fringe benefit, dalla formazione all'HSE, dalla CSR ai fondi personali del lavoratore. Ogni categoria ha un trattamento fiscale diverso, diversi obblighi documentali e diversi rischi. Il Fiscal Guardrails Engine applica, in tempo reale e prima di ogni transazione, i controlli configurati dall'azienda e validati dai suoi advisor, senza che KORA assuma mai il ruolo di consulente o certificatore fiscale.</w:t>
      </w:r>
    </w:p>
    <w:p>
      <w:pPr>
        <w:spacing w:after="100" w:before="200"/>
      </w:pPr>
      <w:r>
        <w:rPr>
          <w:rFonts w:ascii="Arial" w:cs="Arial" w:eastAsia="Arial" w:hAnsi="Arial"/>
          <w:b/>
          <w:bCs/>
          <w:color w:val="1F3864"/>
          <w:sz w:val="21"/>
          <w:szCs w:val="21"/>
        </w:rPr>
        <w:t xml:space="preserve">Validazioni obbligatorie</w:t>
      </w:r>
    </w:p>
    <w:p>
      <w:pPr>
        <w:spacing w:after="80" w:before="60"/>
        <w:jc w:val="both"/>
      </w:pPr>
      <w:r>
        <w:rPr>
          <w:rFonts w:ascii="Arial" w:cs="Arial" w:eastAsia="Arial" w:hAnsi="Arial"/>
          <w:sz w:val="20"/>
          <w:szCs w:val="20"/>
        </w:rPr>
        <w:t xml:space="preserve">Prima dell'avvio operativo su flussi welfare reali, KORA deve ottenere almeno cinque validazioni professionali scritte: parere commercialista welfare (qualifica FUO, struttura SVAM, trattamento categorie fiscali); parere consulente del lavoro (art. 51 TUIR, categoria omogenea, payroll integration); parere legal advisor PSD2 (qualifica KORA come non-payment institution, clausole MSA, struttura mandato); DPIA e designazione DPO (privacy-by-design, Welfare Statement, trattamento dati sanitari); setup compliance con istituto di pagamento partner (escrow, KYC/AML, istruzioni tecniche di payout). Costo indicativo del pacchetto completo: 40.000–80.000 €. ROI: protezione da rischi di riqualifica fiscale che, su un FUO di 5–25 M€ a regime, valgono 1–5 M€ di esposizione potenziale.</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2. Definizione economica di KORA</w:t>
      </w:r>
    </w:p>
    <w:p>
      <w:pPr>
        <w:spacing w:after="80" w:before="60"/>
        <w:jc w:val="both"/>
      </w:pPr>
      <w:r>
        <w:rPr>
          <w:rFonts w:ascii="Arial" w:cs="Arial" w:eastAsia="Arial" w:hAnsi="Arial"/>
          <w:sz w:val="20"/>
          <w:szCs w:val="20"/>
        </w:rPr>
        <w:t xml:space="preserve">La chiarezza di ciò che KORA non è vale tanto quanto la chiarezza di ciò che è. Le definizioni orientano la struttura giuridica, fiscale, contrattuale e narrativa dell'intero modello.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c>
          <w:tcPr>
            <w:tcW w:type="dxa" w:w="4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KORA è</w:t>
            </w:r>
          </w:p>
        </w:tc>
        <w:tc>
          <w:tcPr>
            <w:tcW w:type="dxa" w:w="4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KORA non è</w:t>
            </w:r>
          </w:p>
        </w:tc>
      </w:tr>
      <w:tr>
        <w:tc>
          <w:tcPr>
            <w:tcW w:type="dxa" w:w="4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Software platform — sviluppa e vende SaaS B2B e B2C</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Welfare provider tradizionale che emette voucher, gestisce panieri di flexible benefit, eroga servizi propri</w:t>
            </w:r>
          </w:p>
        </w:tc>
      </w:tr>
      <w:tr>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Program Operator — orchestra programmi welfare-impact in nome e per conto delle aziende clienti</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Istituto di pagamento — non custodisce, non esegue, non dispone direttamente fondi di terzi</w:t>
            </w:r>
          </w:p>
        </w:tc>
      </w:tr>
      <w:tr>
        <w:tc>
          <w:tcPr>
            <w:tcW w:type="dxa" w:w="4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Fiscal Guardrails layer — applica controlli automatici sulla compliance fiscale di ogni transazione</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Consulente fiscale — non certifica il trattamento tributario delle categorie welfare dei clienti</w:t>
            </w:r>
          </w:p>
        </w:tc>
      </w:tr>
      <w:tr>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Partner governance layer — seleziona, certifica e mantiene un network di partner tramite advisor accreditati</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Broker di dati personali — non vende dati individuali dei lavoratori</w:t>
            </w:r>
          </w:p>
        </w:tc>
      </w:tr>
      <w:tr>
        <w:tc>
          <w:tcPr>
            <w:tcW w:type="dxa" w:w="4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Impact reporting layer — produce dati strutturati, KORA Index e report ESG-grade (ESRS S1)</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HRIS generalista — non gestisce payroll, non è performance management, non è ATS</w:t>
            </w:r>
          </w:p>
        </w:tc>
      </w:tr>
      <w:tr>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Administrative centralizer (nel modello SVAM) — interfaccia amministrativa unica tra azienda e network partner</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Carbon accounting tool — non copre scope 1/2/3, non è ESG platform generalista</w:t>
            </w:r>
          </w:p>
        </w:tc>
      </w:tr>
      <w:tr>
        <w:tc>
          <w:tcPr>
            <w:tcW w:type="dxa" w:w="4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6"/>
                <w:szCs w:val="16"/>
              </w:rPr>
              <w:t xml:space="preserve">Garante metodologico — attraverso advisor accreditati, garantisce la qualità metodologica del network</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595959"/>
                <w:sz w:val="16"/>
                <w:szCs w:val="16"/>
              </w:rPr>
              <w:t xml:space="preserve">Ente certificatore — non rilascia certificazioni fiscali, contributive o normative autonome</w:t>
            </w:r>
          </w:p>
        </w:tc>
      </w:tr>
    </w:tbl>
    <w:p>
      <w:pPr>
        <w:spacing w:after="60" w:before="60"/>
        <w:jc w:val="both"/>
      </w:pPr>
      <w:r>
        <w:rPr>
          <w:rFonts w:ascii="Arial" w:cs="Arial" w:eastAsia="Arial" w:hAnsi="Arial"/>
          <w:sz w:val="20"/>
          <w:szCs w:val="20"/>
        </w:rPr>
        <w:t xml:space="preserve"/>
      </w:r>
    </w:p>
    <w:p>
      <w:pPr>
        <w:pBdr>
          <w:left w:val="single" w:color="2E75B6" w:sz="12"/>
        </w:pBdr>
        <w:spacing w:after="60" w:before="80"/>
        <w:ind w:left="360"/>
      </w:pPr>
      <w:r>
        <w:rPr>
          <w:rFonts w:ascii="Arial" w:cs="Arial" w:eastAsia="Arial" w:hAnsi="Arial"/>
          <w:b/>
          <w:bCs/>
          <w:color w:val="2E75B6"/>
          <w:sz w:val="17"/>
          <w:szCs w:val="17"/>
        </w:rPr>
        <w:t xml:space="preserve">VALIDATION REQUIRED  </w:t>
      </w:r>
      <w:r>
        <w:rPr>
          <w:rFonts w:ascii="Arial" w:cs="Arial" w:eastAsia="Arial" w:hAnsi="Arial"/>
          <w:i/>
          <w:iCs/>
          <w:color w:val="444444"/>
          <w:sz w:val="17"/>
          <w:szCs w:val="17"/>
        </w:rPr>
        <w:t xml:space="preserve">La qualifica di KORA come non-payment institution e la struttura del SVAM devono essere validate da legal advisor PSD2 e commercialista welfare prima dell'avvio operativo.</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3. Le cinque grandezze economiche fondamentali</w:t>
      </w:r>
    </w:p>
    <w:p>
      <w:pPr>
        <w:spacing w:after="80" w:before="60"/>
        <w:jc w:val="both"/>
      </w:pPr>
      <w:r>
        <w:rPr>
          <w:rFonts w:ascii="Arial" w:cs="Arial" w:eastAsia="Arial" w:hAnsi="Arial"/>
          <w:sz w:val="20"/>
          <w:szCs w:val="20"/>
        </w:rPr>
        <w:t xml:space="preserve">Il modello economico di KORA tocca cinque grandezze strutturalmente diverse. La confusione tra di loro è la fonte primaria di rischio fiscale, regolatorio e narrativo verso investitori e autorità.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200"/>
        <w:gridCol w:w="1100"/>
        <w:gridCol w:w="580"/>
        <w:gridCol w:w="580"/>
        <w:gridCol w:w="580"/>
        <w:gridCol w:w="580"/>
        <w:gridCol w:w="580"/>
        <w:gridCol w:w="600"/>
      </w:tblGrid>
      <w:tr>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Grandezza</w:t>
            </w:r>
          </w:p>
        </w:tc>
        <w:tc>
          <w:tcPr>
            <w:tcW w:type="dxa" w:w="17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Definizione</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Chi paga</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Chi riceve</w:t>
            </w:r>
          </w:p>
        </w:tc>
        <w:tc>
          <w:tcPr>
            <w:tcW w:type="dxa" w:w="5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Conto KORA?</w:t>
            </w:r>
          </w:p>
        </w:tc>
        <w:tc>
          <w:tcPr>
            <w:tcW w:type="dxa" w:w="5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 CE KORA?</w:t>
            </w:r>
          </w:p>
        </w:tc>
        <w:tc>
          <w:tcPr>
            <w:tcW w:type="dxa" w:w="5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IVA KORA?</w:t>
            </w:r>
          </w:p>
        </w:tc>
        <w:tc>
          <w:tcPr>
            <w:tcW w:type="dxa" w:w="5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Materiali fin.?</w:t>
            </w:r>
          </w:p>
        </w:tc>
        <w:tc>
          <w:tcPr>
            <w:tcW w:type="dxa" w:w="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4"/>
                <w:szCs w:val="14"/>
              </w:rPr>
              <w:t xml:space="preserve">Rischio se mal class.</w:t>
            </w:r>
          </w:p>
        </w:tc>
      </w:tr>
      <w:tr>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1. KORA Fees / Revenue</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Ricavi propri di KORA: subscription, setup, management fee, orchestration, certification, reporting, service fee top-up.</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partner, lavoratore (B2C)</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KORA S.r.l. (conto operativo)</w:t>
            </w:r>
          </w:p>
        </w:tc>
        <w:tc>
          <w:tcPr>
            <w:tcW w:type="dxa" w:w="58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5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→CE</w:t>
            </w:r>
          </w:p>
        </w:tc>
        <w:tc>
          <w:tcPr>
            <w:tcW w:type="dxa" w:w="58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5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Come Revenue, ARR, MRR</w:t>
            </w:r>
          </w:p>
        </w:tc>
        <w:tc>
          <w:tcPr>
            <w:tcW w:type="dxa" w:w="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Se non rilevati correttamente: sottodichiarazione reddito</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2. FUO — Funds Under Orchestration</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Budget welfare aziendali (company-funded) e top-up personali (worker-funded) orchestrati da KORA. Non sono ricavi KORA.</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(FUO company) o Lavoratore (FUO worker)</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Istituto di pagamento partner (escrow)</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→OO (conti d'ordine)</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Come metrica di scala (FUO orchestrated), mai come Revenue</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Se trattati come revenue: IVA 22% sull'intero transato + sanzioni</w:t>
            </w:r>
          </w:p>
        </w:tc>
      </w:tr>
      <w:tr>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3. Partner Payouts</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Pagamenti dall'istituto di pagamento ai partner certificati per servizi erogati ai lavoratori. Lato passivo dei FUO.</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Istituto di pagamento partner (sui FUO)</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Partner certificato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→OO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Non appaiono; sono impliciti nei FUO</w:t>
            </w:r>
          </w:p>
        </w:tc>
        <w:tc>
          <w:tcPr>
            <w:tcW w:type="dxa" w:w="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Se trattati come costi KORA: distorsione del margine KORA</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4. Worker-funded flows</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Top-up volontari del lavoratore con fondi personali post-tassazione. Separati dai FUO aziendali.</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Lavoratore (fondi propri)</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Sub-wallet personale @ istituto di pagamento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→OO (sub-wallet)</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Come metrica separata (worker top-up volume)</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Se confusi con welfare aziendale: rischio art. 51 TUIR</w:t>
            </w:r>
          </w:p>
        </w:tc>
      </w:tr>
      <w:tr>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5. KIP — KORA Impact Pledge</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Flusso diretto azienda → progetto territoriale. KORA non raccoglie, non custodisce, non redistribuisce. Traccia solo commitment e impatto dichiarato.</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(direttamente al progetto)</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Progetto territoriale / ETS / ASD</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5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Come KIP volume tracked (metrica d'impatto, non finanziaria)</w:t>
            </w:r>
          </w:p>
        </w:tc>
        <w:tc>
          <w:tcPr>
            <w:tcW w:type="dxa" w:w="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Se KORA gestisce il flusso: rischio PSD2 e fiscale</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4. Revenue Model di KORA</w:t>
      </w:r>
    </w:p>
    <w:p>
      <w:pPr>
        <w:spacing w:after="80" w:before="60"/>
        <w:jc w:val="both"/>
      </w:pPr>
      <w:r>
        <w:rPr>
          <w:rFonts w:ascii="Arial" w:cs="Arial" w:eastAsia="Arial" w:hAnsi="Arial"/>
          <w:sz w:val="20"/>
          <w:szCs w:val="20"/>
        </w:rPr>
        <w:t xml:space="preserve">Il fatturato KORA è strutturalmente più piccolo del transato orchestrato. Questa proporzione non è una debolezza: è la firma di una piattaforma con disciplina fiscale e architettura scalabile. Il revenue model è articolato in cinque famiglie.</w:t>
      </w:r>
    </w:p>
    <w:p>
      <w:pPr>
        <w:spacing w:after="100" w:before="200"/>
      </w:pPr>
      <w:r>
        <w:rPr>
          <w:rFonts w:ascii="Arial" w:cs="Arial" w:eastAsia="Arial" w:hAnsi="Arial"/>
          <w:b/>
          <w:bCs/>
          <w:color w:val="1F3864"/>
          <w:sz w:val="21"/>
          <w:szCs w:val="21"/>
        </w:rPr>
        <w:t xml:space="preserve">4.1 Ricavi B2B 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650"/>
        <w:gridCol w:w="650"/>
        <w:gridCol w:w="1300"/>
        <w:gridCol w:w="900"/>
      </w:tblGrid>
      <w:tr>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Pagatore</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Frequenza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IVA prob.</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 rischio</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Maturità</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Subscription SaaS — tier Access</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 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Ricavo ricorrente principale. ARR-grade.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Subscription SaaS — tier Foundation</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 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Include KORA Index base e guardrails standard.</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Subscription SaaS — tier Governance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 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Full SVAM, orchestrazione completa, reporting avanzato.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Subscription SaaS — tier Certified</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 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Audit trail avanzato, certified reporting ESRS S1-ready.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Setup / onboarding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Una tantum</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Riconoscimento ricavo: da validare con commercialista (immediato vs pro-rata).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Baseline assessment fee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Una tantum</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Audit iniziale del capitale umano prima dell'attivazione.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Management fee orchestration — flat</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per il ruolo di program operator. Distinta dalla subscription.</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Orchestration fee — variabile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evento / mensile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Solo se su volumi, non su transato FUO. Non deve sembrare take-rate. Preferenza MVP: fee flat.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Centralization fee SVAM</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specifica per il ruolo di centralizzatore nel SVAM. Giustificata dalla riduzione del burden procurement.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Reporting fee aggiuntivo</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Annuale / per report</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Report ESRS S1, benchmark settoriale, KORA Index custom.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Certified reporting / audit support</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progetto</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Supporto all'audit di bilancio di sostenibilità. Alto ticket.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Integration fee HRIS/LMS/provider</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Una tantum + manutenzione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per connettori Workday, Personio, SAP, LMS partner.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4.2 Ricavi partner ecosystem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650"/>
        <w:gridCol w:w="650"/>
        <w:gridCol w:w="1300"/>
        <w:gridCol w:w="900"/>
      </w:tblGrid>
      <w:tr>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Pagatore</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Frequenza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IVA prob.</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 rischio</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Maturità</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Partner onboarding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Partner certificato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Una tantum</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Richiesta per la certificazione iniziale nel network.</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Partner validation fee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Partner certificato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Una tantum</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Compenso per il processo di validazione metodologica.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Annual partner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Partner certificato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di mantenimento dell'accesso al network.</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Partner re-validation fee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Partner certificato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Ogni 2-3 anni</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Rinnovo della certificazione.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Partner compliance package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Partner certificato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Pacchetto di strumenti per la compliance operativa nel network.</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Optional</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Premium partner analytics</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Partner certificato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Dashboard analytics avanzate sui propri clienti nel network. Da validare fiscalmente.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Optional</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4.3 Ricavi advisor / academy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650"/>
        <w:gridCol w:w="650"/>
        <w:gridCol w:w="1300"/>
        <w:gridCol w:w="900"/>
      </w:tblGrid>
      <w:tr>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Pagatore</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Frequenza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IVA prob.</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 rischio</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Maturità</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Advisor certification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Advisor accreditato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Una tantum per advisor</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per diventare advisor certificato KORA.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Annual advisor renewal</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Advisor accreditato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Mantenimento dello status di advisor accreditato.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Validation assignment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Advisor accreditato → KORA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partner certificato</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Compenso all'advisor per ogni partner certificato sotto la sua firma. Modalità: advisor fattura KORA o KORA trattiene quota.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MVP</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Training academy</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 professionisti</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corso</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Formazione su metodologia KORA, impact governance, fiscal guardrails.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Audit support assignment</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progetto</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Advisor KORA supporta l'azienda in audit ESG o welfare.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595959"/>
                <w:sz w:val="14"/>
                <w:szCs w:val="14"/>
              </w:rPr>
              <w:t xml:space="preserve">Later</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4.4 Ricavi B2B2C / worker-funded</w:t>
      </w:r>
    </w:p>
    <w:p>
      <w:pPr>
        <w:spacing w:after="80" w:before="60"/>
        <w:jc w:val="both"/>
      </w:pPr>
      <w:r>
        <w:rPr>
          <w:rFonts w:ascii="Arial" w:cs="Arial" w:eastAsia="Arial" w:hAnsi="Arial"/>
          <w:sz w:val="20"/>
          <w:szCs w:val="20"/>
        </w:rPr>
        <w:t xml:space="preserve">I ricavi B2C sono attivabili solo con il rilascio del Worker Module (v1.5+). Prima di questa milestone, KORA opera come piattaforma B2B pura.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650"/>
        <w:gridCol w:w="650"/>
        <w:gridCol w:w="1300"/>
        <w:gridCol w:w="900"/>
      </w:tblGrid>
      <w:tr>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Pagatore</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Frequenza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IVA prob.</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 rischio</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Maturità</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Service fee top-up</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Lavoratore (fondi propri)</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transazione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KORA sul top-up personale del lavoratore. Unico ricavo B2C diretto nel modello base.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Later (v1.5)</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Personal subscription (Premium Personal)</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Lavoratore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Abbonamento del lavoratore al modulo Premium Personal. Da valutare OSS per lavoratori UE.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Booking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Lavoratore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prenotazione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per prenotazione diretta di servizi partner. Solo se fiscalmente validata e non confondibile con take-rate welfare.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Optional</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4.5 Ricavi impact / territorial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650"/>
        <w:gridCol w:w="650"/>
        <w:gridCol w:w="1300"/>
        <w:gridCol w:w="900"/>
      </w:tblGrid>
      <w:tr>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Pagatore</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Frequenza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6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IVA prob.</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 rischio</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Maturità</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KIP reporting fee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Fee per la rendicontazione e il tracking del KORA Impact Pledge. Il flusso KIP è fuori da KORA; la fee di reporting è un ricavo KORA.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Later</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Territorial dashboard fee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Comune / ETS / azienda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Annuale</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Dashboard territoriale aggregata dell'impatto nel territorio.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Optional</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Multi-company impact statement</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Più aziende / aggregatore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report</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Report aggregato di impatto per distretto industriale o settore.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Optional</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Project verification fee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Azienda / ETS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Per progetto</w:t>
            </w:r>
          </w:p>
        </w:tc>
        <w:tc>
          <w:tcPr>
            <w:tcW w:type="dxa" w:w="65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22%</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Verifica metodologica dell'impatto dichiarato da un progetto.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4"/>
                <w:szCs w:val="14"/>
              </w:rPr>
              <w:t xml:space="preserve">Optional</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5. Funds Under Orchestration — FUO</w:t>
      </w:r>
    </w:p>
    <w:p>
      <w:pPr>
        <w:spacing w:after="80" w:before="60"/>
        <w:jc w:val="both"/>
      </w:pPr>
      <w:r>
        <w:rPr>
          <w:rFonts w:ascii="Arial" w:cs="Arial" w:eastAsia="Arial" w:hAnsi="Arial"/>
          <w:sz w:val="20"/>
          <w:szCs w:val="20"/>
        </w:rPr>
        <w:t xml:space="preserve">I Funds Under Orchestration sono i fondi di terzi che la piattaforma KORA orchestra per conto dei rispettivi soggetti. Non sono ricavi KORA in nessuna circostanza, non devono transitare dal conto operativo KORA, e sono custoditi presso l'istituto di pagamento partner regolato in escrow segregato.</w:t>
      </w:r>
    </w:p>
    <w:p>
      <w:pPr>
        <w:pBdr>
          <w:left w:val="single" w:color="2E75B6" w:sz="12"/>
        </w:pBdr>
        <w:spacing w:after="60" w:before="80"/>
        <w:ind w:left="360"/>
      </w:pPr>
      <w:r>
        <w:rPr>
          <w:rFonts w:ascii="Arial" w:cs="Arial" w:eastAsia="Arial" w:hAnsi="Arial"/>
          <w:b/>
          <w:bCs/>
          <w:color w:val="2E75B6"/>
          <w:sz w:val="17"/>
          <w:szCs w:val="17"/>
        </w:rPr>
        <w:t xml:space="preserve">REGOLA ASSOLUTA  </w:t>
      </w:r>
      <w:r>
        <w:rPr>
          <w:rFonts w:ascii="Arial" w:cs="Arial" w:eastAsia="Arial" w:hAnsi="Arial"/>
          <w:i/>
          <w:iCs/>
          <w:color w:val="444444"/>
          <w:sz w:val="17"/>
          <w:szCs w:val="17"/>
        </w:rPr>
        <w:t xml:space="preserve">I FUO non transitano dal conto operativo KORA mai. Nemmeno temporaneamente. Nemmeno per un giorno. Qualsiasi transito configura presunzione di ricavo con applicazione IVA 22% sull'intero importo.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00"/>
        <w:gridCol w:w="1600"/>
        <w:gridCol w:w="580"/>
        <w:gridCol w:w="1500"/>
        <w:gridCol w:w="1320"/>
      </w:tblGrid>
      <w:tr>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Tipo FUO</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Fonte</w:t>
            </w:r>
          </w:p>
        </w:tc>
        <w:tc>
          <w:tcPr>
            <w:tcW w:type="dxa" w:w="15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Custodia</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Utilizzo</w:t>
            </w:r>
          </w:p>
        </w:tc>
        <w:tc>
          <w:tcPr>
            <w:tcW w:type="dxa" w:w="5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15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Contabilizzazione</w:t>
            </w:r>
          </w:p>
        </w:tc>
        <w:tc>
          <w:tcPr>
            <w:tcW w:type="dxa" w:w="132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Validazione</w:t>
            </w:r>
          </w:p>
        </w:tc>
      </w:tr>
      <w:tr>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FUO company-funded — welfare 51 TUIR</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(budget welfare)</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Escrow segregato per cliente @ istituto di pagamento partner (Lemonway/MangoPay)</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Pagamento a partner certificati per servizi welfare al lavoratore</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Conti d'ordine 90.01.x — separati dal CE</w:t>
            </w:r>
          </w:p>
        </w:tc>
        <w:tc>
          <w:tcPr>
            <w:tcW w:type="dxa" w:w="1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Parere commercialista welfare + legal PSD2</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FUO company-funded — fringe benefit</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(budget fringe)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Escrow segregato per cliente @ istituto di pagamento</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Pagamento a partner per benefit individuali entro soglia vigente</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Conti d'ordine 90.02.x</w:t>
            </w:r>
          </w:p>
        </w:tc>
        <w:tc>
          <w:tcPr>
            <w:tcW w:type="dxa" w:w="1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Parere commercialista welfare + consulente del lavoro</w:t>
            </w:r>
          </w:p>
        </w:tc>
      </w:tr>
      <w:tr>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FUO company-funded — HR/training/HSE (se orchestrati)</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(budget HR/training/HSE)</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Escrow o struttura equivalente validata — separata dal welfare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Pagamento a partner formativi, HSE, team activity se configurato</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Conti d'ordine 90.03.x — distinto da welfare</w:t>
            </w:r>
          </w:p>
        </w:tc>
        <w:tc>
          <w:tcPr>
            <w:tcW w:type="dxa" w:w="1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Parere commercialista per qualifica non-welfare; evitare confusione con FUO welfare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FUO co-funded — quota aziendale</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(quota budget welfare o HR)</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Escrow aziendale @ istituto di pagamento</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Pagamento parziale al partner; il resto è a carico del lavoratore</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Conti d'ordine 90.04.x — separato dalla quota worker</w:t>
            </w:r>
          </w:p>
        </w:tc>
        <w:tc>
          <w:tcPr>
            <w:tcW w:type="dxa" w:w="1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Parere commercialista welfare sulla struttura co-funded</w:t>
            </w:r>
          </w:p>
        </w:tc>
      </w:tr>
      <w:tr>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FUO worker-funded — top-up personale</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Lavoratore (fondi propri post-tassazione)</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Sub-wallet personale @ istituto di pagamento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Pagamento a partner per servizi personali del lavoratore</w:t>
            </w:r>
          </w:p>
        </w:tc>
        <w:tc>
          <w:tcPr>
            <w:tcW w:type="dxa" w:w="5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Conti d'ordine 90.05.x — separato dai FUO aziendali</w:t>
            </w:r>
          </w:p>
        </w:tc>
        <w:tc>
          <w:tcPr>
            <w:tcW w:type="dxa" w:w="1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Parere legal PSD2 sulla separazione wallet; no confusione con welfare aziendale</w:t>
            </w:r>
          </w:p>
        </w:tc>
      </w:tr>
    </w:tbl>
    <w:p>
      <w:pPr>
        <w:spacing w:after="60" w:before="60"/>
        <w:jc w:val="both"/>
      </w:pPr>
      <w:r>
        <w:rPr>
          <w:rFonts w:ascii="Arial" w:cs="Arial" w:eastAsia="Arial" w:hAnsi="Arial"/>
          <w:sz w:val="20"/>
          <w:szCs w:val="20"/>
        </w:rPr>
        <w:t xml:space="preserve"/>
      </w:r>
    </w:p>
    <w:p>
      <w:pPr>
        <w:spacing w:after="80" w:before="60"/>
        <w:jc w:val="both"/>
      </w:pPr>
      <w:r>
        <w:rPr>
          <w:rFonts w:ascii="Arial" w:cs="Arial" w:eastAsia="Arial" w:hAnsi="Arial"/>
          <w:sz w:val="20"/>
          <w:szCs w:val="20"/>
        </w:rPr>
        <w:t xml:space="preserve">Nella reportistica investor i FUO devono essere presentati come metrica di scala (FUO orchestrated) separata dalla Revenue. Mostrare i FUO accanto all'ARR dimostra l'ampiezza della piattaforma e il network effect, senza confondere le due grandezze. Un investitore istituzionale che vede FUO sommati a Revenue declassa immediatamente la qualità della governance finanziaria.</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6. Payment &amp; Wallet Architecture</w:t>
      </w:r>
    </w:p>
    <w:p>
      <w:pPr>
        <w:spacing w:after="80" w:before="60"/>
        <w:jc w:val="both"/>
      </w:pPr>
      <w:r>
        <w:rPr>
          <w:rFonts w:ascii="Arial" w:cs="Arial" w:eastAsia="Arial" w:hAnsi="Arial"/>
          <w:sz w:val="20"/>
          <w:szCs w:val="20"/>
        </w:rPr>
        <w:t xml:space="preserve">L'architettura di pagamento è il pilastro tecnico-regolatorio che separa i ricavi KORA dai fondi di terzi. Si articola in una struttura ibrida con due provider distinti, ciascuno ottimizzato per la propria funzione.</w:t>
      </w:r>
    </w:p>
    <w:p>
      <w:pPr>
        <w:spacing w:after="100" w:before="200"/>
      </w:pPr>
      <w:r>
        <w:rPr>
          <w:rFonts w:ascii="Arial" w:cs="Arial" w:eastAsia="Arial" w:hAnsi="Arial"/>
          <w:b/>
          <w:bCs/>
          <w:color w:val="1F3864"/>
          <w:sz w:val="21"/>
          <w:szCs w:val="21"/>
        </w:rPr>
        <w:t xml:space="preserve">6.1 I sette flussi principali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
        <w:gridCol w:w="2200"/>
        <w:gridCol w:w="2000"/>
        <w:gridCol w:w="2000"/>
        <w:gridCol w:w="2980"/>
      </w:tblGrid>
      <w:tr>
        <w:tc>
          <w:tcPr>
            <w:tcW w:type="dxa" w:w="32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Flusso</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Da</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A</w:t>
            </w:r>
          </w:p>
        </w:tc>
        <w:tc>
          <w:tcPr>
            <w:tcW w:type="dxa" w:w="29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operative</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1</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Budget welfare aziendale → escrow segregato</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 (conto bancario aziendale)</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Escrow segregato per cliente @ istituto di pagamento partner (Lemonway/MangoPay)</w:t>
            </w:r>
          </w:p>
        </w:tc>
        <w:tc>
          <w:tcPr>
            <w:tcW w:type="dxa" w:w="29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KORA non riceve mai questi fondi. L'istituto di pagamento è il custode regolato. Contabilizzazione KORA: conto d'ordine 90.01.x.</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Istruzione tecnica di payout</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KORA (istruzione tecnica configurata)</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Istituto di pagamento partner</w:t>
            </w:r>
          </w:p>
        </w:tc>
        <w:tc>
          <w:tcPr>
            <w:tcW w:type="dxa" w:w="29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KORA non dispone fondi: invia istruzioni tecniche configurate dall'azienda e autorizzate dal Guardrails Engine. L'istituto di pagamento esegue sotto la propria autorizzazione PSD2.</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3</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Partner Payout</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Istituto di pagamento partner (in esecuzione PSD2)</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Partner certificato (conto corrente del partner)</w:t>
            </w:r>
          </w:p>
        </w:tc>
        <w:tc>
          <w:tcPr>
            <w:tcW w:type="dxa" w:w="29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Il partner riceve il corrispettivo per il servizio erogato al lavoratore. Emette documento fiscale (variante da validare: a KORA, nota verso KORA, o direttamente all'azienda con KORA mandatario).</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KORA Fees — pagamento da azienda</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cliente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Conto operativo KORA (via Stripe o SEPA Direct Debit)</w:t>
            </w:r>
          </w:p>
        </w:tc>
        <w:tc>
          <w:tcPr>
            <w:tcW w:type="dxa" w:w="29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Unico flusso monetario che arriva nel conto operativo KORA. Fatturato via SDI. IVA 22%. Questo è il fatturato KORA.</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5</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Top-up personale lavoratore → sub-wallet</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Lavoratore (fondi personali post-tassazione)</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Sub-wallet personale @ istituto di pagamento partner (via Stripe)</w:t>
            </w:r>
          </w:p>
        </w:tc>
        <w:tc>
          <w:tcPr>
            <w:tcW w:type="dxa" w:w="29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Stripe trattiene costo transazionale. KORA fattura service fee top-up come ricavo proprio. L'importo netto entra nel sub-wallet del lavoratore, non nel conto KORA.</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6</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KIP — flusso diretto azienda → progetto</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Azienda (direttamente)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Progetto territoriale / ETS / ASD</w:t>
            </w:r>
          </w:p>
        </w:tc>
        <w:tc>
          <w:tcPr>
            <w:tcW w:type="dxa" w:w="29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KORA non intermedia questo flusso. Traccia solo il commitment e l'impatto dichiarato. Nessun escrow KORA. KORA fattura eventuale reporting fee come ricavo proprio.</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7</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No-payment events</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Nessun flusso monetario</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Nessun destinatario finanziario</w:t>
            </w:r>
          </w:p>
        </w:tc>
        <w:tc>
          <w:tcPr>
            <w:tcW w:type="dxa" w:w="29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4"/>
                <w:szCs w:val="14"/>
              </w:rPr>
              <w:t xml:space="preserve">Azione registrata come Verified Action nel log algoritmico. Contribuisce al KORA Index. Nessun guardrail fiscale attivo. Nessun documento probatorio finanziario richiesto.</w:t>
            </w:r>
          </w:p>
        </w:tc>
      </w:tr>
    </w:tbl>
    <w:p>
      <w:pPr>
        <w:spacing w:after="100" w:before="200"/>
      </w:pPr>
      <w:r>
        <w:rPr>
          <w:rFonts w:ascii="Arial" w:cs="Arial" w:eastAsia="Arial" w:hAnsi="Arial"/>
          <w:b/>
          <w:bCs/>
          <w:color w:val="1F3864"/>
          <w:sz w:val="21"/>
          <w:szCs w:val="21"/>
        </w:rPr>
        <w:t xml:space="preserve">6.2 Schema testuale dei flussi</w:t>
      </w:r>
    </w:p>
    <w:p>
      <w:pPr>
        <w:spacing w:after="20" w:before="80"/>
        <w:jc w:val="both"/>
      </w:pPr>
      <w:r>
        <w:rPr>
          <w:rFonts w:ascii="Arial" w:cs="Arial" w:eastAsia="Arial" w:hAnsi="Arial"/>
          <w:b/>
          <w:bCs/>
          <w:color w:val="1F3864"/>
          <w:sz w:val="17"/>
          <w:szCs w:val="17"/>
        </w:rPr>
        <w:t xml:space="preserve">AZIENDA CLIENTE</w:t>
      </w:r>
    </w:p>
    <w:p>
      <w:pPr>
        <w:spacing w:after="0" w:before="0"/>
        <w:jc w:val="both"/>
      </w:pPr>
      <w:r>
        <w:rPr>
          <w:rFonts w:ascii="Arial" w:cs="Arial" w:eastAsia="Arial" w:hAnsi="Arial"/>
          <w:color w:val="595959"/>
          <w:sz w:val="17"/>
          <w:szCs w:val="17"/>
        </w:rPr>
        <w:t xml:space="preserve">  │</w:t>
      </w:r>
    </w:p>
    <w:p>
      <w:pPr>
        <w:spacing w:after="0" w:before="0"/>
        <w:jc w:val="both"/>
      </w:pPr>
      <w:r>
        <w:rPr>
          <w:rFonts w:ascii="Arial" w:cs="Arial" w:eastAsia="Arial" w:hAnsi="Arial"/>
          <w:color w:val="595959"/>
          <w:sz w:val="16"/>
          <w:szCs w:val="16"/>
        </w:rPr>
        <w:t xml:space="preserve">  ├─ (1) Budget welfare ────────────────► ESCROW SEGREGATO @ Istituto di Pagamento Partner</w:t>
      </w:r>
    </w:p>
    <w:p>
      <w:pPr>
        <w:spacing w:after="0" w:before="0"/>
        <w:jc w:val="both"/>
      </w:pPr>
      <w:r>
        <w:rPr>
          <w:rFonts w:ascii="Arial" w:cs="Arial" w:eastAsia="Arial" w:hAnsi="Arial"/>
          <w:color w:val="595959"/>
          <w:sz w:val="17"/>
          <w:szCs w:val="17"/>
        </w:rPr>
        <w:t xml:space="preserve">  │                                              │</w:t>
      </w:r>
    </w:p>
    <w:p>
      <w:pPr>
        <w:spacing w:after="0" w:before="0"/>
        <w:jc w:val="both"/>
      </w:pPr>
      <w:r>
        <w:rPr>
          <w:rFonts w:ascii="Arial" w:cs="Arial" w:eastAsia="Arial" w:hAnsi="Arial"/>
          <w:color w:val="595959"/>
          <w:sz w:val="16"/>
          <w:szCs w:val="16"/>
        </w:rPr>
        <w:t xml:space="preserve">  │                         KORA ──(2) istruzione tecnica──► Istituto di Pagamento</w:t>
      </w:r>
    </w:p>
    <w:p>
      <w:pPr>
        <w:spacing w:after="0" w:before="0"/>
        <w:jc w:val="both"/>
      </w:pPr>
      <w:r>
        <w:rPr>
          <w:rFonts w:ascii="Arial" w:cs="Arial" w:eastAsia="Arial" w:hAnsi="Arial"/>
          <w:color w:val="595959"/>
          <w:sz w:val="17"/>
          <w:szCs w:val="17"/>
        </w:rPr>
        <w:t xml:space="preserve">  │                                              │</w:t>
      </w:r>
    </w:p>
    <w:p>
      <w:pPr>
        <w:spacing w:after="0" w:before="0"/>
        <w:jc w:val="both"/>
      </w:pPr>
      <w:r>
        <w:rPr>
          <w:rFonts w:ascii="Arial" w:cs="Arial" w:eastAsia="Arial" w:hAnsi="Arial"/>
          <w:color w:val="595959"/>
          <w:sz w:val="16"/>
          <w:szCs w:val="16"/>
        </w:rPr>
        <w:t xml:space="preserve">  │                                         (3) Partner Payout ──► PARTNER CERTIFICATO</w:t>
      </w:r>
    </w:p>
    <w:p>
      <w:pPr>
        <w:spacing w:after="0" w:before="0"/>
        <w:jc w:val="both"/>
      </w:pPr>
      <w:r>
        <w:rPr>
          <w:rFonts w:ascii="Arial" w:cs="Arial" w:eastAsia="Arial" w:hAnsi="Arial"/>
          <w:color w:val="595959"/>
          <w:sz w:val="17"/>
          <w:szCs w:val="17"/>
        </w:rPr>
        <w:t xml:space="preserve">  │</w:t>
      </w:r>
    </w:p>
    <w:p>
      <w:pPr>
        <w:spacing w:after="0" w:before="0"/>
        <w:jc w:val="both"/>
      </w:pPr>
      <w:r>
        <w:rPr>
          <w:rFonts w:ascii="Arial" w:cs="Arial" w:eastAsia="Arial" w:hAnsi="Arial"/>
          <w:b/>
          <w:bCs/>
          <w:color w:val="1F3864"/>
          <w:sz w:val="16"/>
          <w:szCs w:val="16"/>
        </w:rPr>
        <w:t xml:space="preserve">  ├─ (4) KORA Fees ─────────────────────► CONTO OPERATIVO KORA  (unico flusso su KORA)</w:t>
      </w:r>
    </w:p>
    <w:p>
      <w:pPr>
        <w:spacing w:after="0" w:before="0"/>
        <w:jc w:val="both"/>
      </w:pPr>
      <w:r>
        <w:rPr>
          <w:rFonts w:ascii="Arial" w:cs="Arial" w:eastAsia="Arial" w:hAnsi="Arial"/>
          <w:color w:val="595959"/>
          <w:sz w:val="17"/>
          <w:szCs w:val="17"/>
        </w:rPr>
        <w:t xml:space="preserve">  │</w:t>
      </w:r>
    </w:p>
    <w:p>
      <w:pPr>
        <w:spacing w:after="20" w:before="0"/>
        <w:jc w:val="both"/>
      </w:pPr>
      <w:r>
        <w:rPr>
          <w:rFonts w:ascii="Arial" w:cs="Arial" w:eastAsia="Arial" w:hAnsi="Arial"/>
          <w:color w:val="595959"/>
          <w:sz w:val="16"/>
          <w:szCs w:val="16"/>
        </w:rPr>
        <w:t xml:space="preserve">  └─ (6) KIP ──────────────────────────► PROGETTO TERRITORIALE / ETS  (fuori da KORA)</w:t>
      </w:r>
    </w:p>
    <w:p>
      <w:pPr>
        <w:spacing w:after="0" w:before="20"/>
        <w:jc w:val="both"/>
      </w:pPr>
      <w:r>
        <w:rPr>
          <w:rFonts w:ascii="Arial" w:cs="Arial" w:eastAsia="Arial" w:hAnsi="Arial"/>
          <w:b/>
          <w:bCs/>
          <w:color w:val="1F3864"/>
          <w:sz w:val="17"/>
          <w:szCs w:val="17"/>
        </w:rPr>
        <w:t xml:space="preserve">LAVORATORE</w:t>
      </w:r>
    </w:p>
    <w:p>
      <w:pPr>
        <w:spacing w:after="80" w:before="0"/>
        <w:jc w:val="both"/>
      </w:pPr>
      <w:r>
        <w:rPr>
          <w:rFonts w:ascii="Arial" w:cs="Arial" w:eastAsia="Arial" w:hAnsi="Arial"/>
          <w:color w:val="595959"/>
          <w:sz w:val="16"/>
          <w:szCs w:val="16"/>
        </w:rPr>
        <w:t xml:space="preserve">  └─ (5) Top-up personale ────────────► SUB-WALLET PERSONALE @ Istituto di Pagamento</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7. Single Vendor Administrative Model — SVAM</w:t>
      </w:r>
    </w:p>
    <w:p>
      <w:pPr>
        <w:spacing w:after="80" w:before="60"/>
        <w:jc w:val="both"/>
      </w:pPr>
      <w:r>
        <w:rPr>
          <w:rFonts w:ascii="Arial" w:cs="Arial" w:eastAsia="Arial" w:hAnsi="Arial"/>
          <w:sz w:val="20"/>
          <w:szCs w:val="20"/>
        </w:rPr>
        <w:t xml:space="preserve">Il problema centrale che il SVAM risolve è questo: chi fattura il budget welfare ai partner? E come può un'azienda enterprise gestire un network di 50–100 partner senza onboardarli individualmente come fornitori?</w:t>
      </w:r>
    </w:p>
    <w:p>
      <w:pPr>
        <w:spacing w:after="80" w:before="60"/>
        <w:jc w:val="both"/>
      </w:pPr>
      <w:r>
        <w:rPr>
          <w:rFonts w:ascii="Arial" w:cs="Arial" w:eastAsia="Arial" w:hAnsi="Arial"/>
          <w:sz w:val="20"/>
          <w:szCs w:val="20"/>
        </w:rPr>
        <w:t xml:space="preserve">Il modello Direct Partner Billing (ogni partner fattura direttamente all'azienda) non scala per clienti enterprise con ufficio acquisti strutturato, sistema ERP, policy procurement di gruppo, requisiti SOX/anticorruzione, obblighi di verifica fornitore. Onboardare 50 partner locali significa 50 codici fornitore, 50 contratti, 50 flussi di verifica, 50 fatture mensili da riconciliare. Questo blocca l'adozione.</w:t>
      </w:r>
    </w:p>
    <w:p>
      <w:pPr>
        <w:spacing w:after="100" w:before="200"/>
      </w:pPr>
      <w:r>
        <w:rPr>
          <w:rFonts w:ascii="Arial" w:cs="Arial" w:eastAsia="Arial" w:hAnsi="Arial"/>
          <w:b/>
          <w:bCs/>
          <w:color w:val="1F3864"/>
          <w:sz w:val="21"/>
          <w:szCs w:val="21"/>
        </w:rPr>
        <w:t xml:space="preserve">7.1 I tre modelli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300"/>
      </w:tblGrid>
      <w:tr>
        <w:tc>
          <w:tcPr>
            <w:tcW w:type="dxa" w:w="15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Criterio</w:t>
            </w:r>
          </w:p>
        </w:tc>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A — Direct Partner Billing</w:t>
            </w:r>
          </w:p>
        </w:tc>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B — KORA Administrative Centralizer (TARGET)</w:t>
            </w:r>
          </w:p>
        </w:tc>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 — Marketplace Settlement</w:t>
            </w:r>
          </w:p>
        </w:tc>
        <w:tc>
          <w:tcPr>
            <w:tcW w:type="dxa" w:w="2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w:t>
            </w:r>
          </w:p>
        </w:tc>
      </w:tr>
      <w:tr>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Chi fattura chi?</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Ogni partner fattura direttamente all'azienda</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Partner fattura a KORA (o emette documento); KORA produce rendicontazione aggregata verso l'azienda per le sole KORA Fees</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Marketplace/PI gestisce documentazione; KORA è solo software</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Modello B richiede validazione fiscale della struttura di riaddebito/mandato</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Burden procurement azienda</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MASSIMO: N partner = N fornitori da onboardare</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MINIMO: KORA è l'unico fornitore amministrativo</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RIDOTTO ma dipende dal contratto con marketplace</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Solo il Modello B risolve strutturalmente il problema enterprise</w:t>
            </w:r>
          </w:p>
        </w:tc>
      </w:tr>
      <w:tr>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Separazione Revenue/FUO</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Naturale: KORA non tocca i flussi</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Richiede struttura contrattuale e contabile precisa: FUO in conti d'ordine, non in CE KORA</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Strutturalmente netta</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Il Modello B è il più complesso ma il più scalabile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Qualifica PSD2 di KORA</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 rischio</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Nessun rischio se struttura corretta e istituto di pagamento gestisce i flussi</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 rischio per KORA</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Validazione legal PSD2 obbligatoria prima del go-live Modello B</w:t>
            </w:r>
          </w:p>
        </w:tc>
      </w:tr>
      <w:tr>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Scalabilità enterprise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Non scalabile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Enterprise-grade: un contratto, un welfare statement</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Variabile</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Il Modello B è la configurazione target per clienti enterprise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Maturità</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Fallback / Pilot</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TARGET</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Da verificare caso per caso</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Vietato: FUO su conto KORA o contabilizzati come revenue</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7.2 I cinque principi operativi del Modello 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Principio</w:t>
            </w:r>
          </w:p>
        </w:tc>
        <w:tc>
          <w:tcPr>
            <w:tcW w:type="dxa" w:w="7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Implementazione operativa</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KORA è unica interfaccia amministrativa</w:t>
            </w:r>
          </w:p>
        </w:tc>
        <w:tc>
          <w:tcPr>
            <w:tcW w:type="dxa" w:w="7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L'azienda onboarda un solo fornitore: KORA. Non apre codici fornitore per i singoli partner nel proprio ERP.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I partner restano prestatori effettivi</w:t>
            </w:r>
          </w:p>
        </w:tc>
        <w:tc>
          <w:tcPr>
            <w:tcW w:type="dxa" w:w="7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 partner certificati sono i merchant of record dell'erogazione del servizio al lavoratore. KORA non si sostituisce ai partner nella prestazione. (La qualifica di merchant/payee of record deve essere validata con legal PSD2 e istituto di pagamento.)</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L'istituto di pagamento regolato custodisce ed esegue i flussi</w:t>
            </w:r>
          </w:p>
        </w:tc>
        <w:tc>
          <w:tcPr>
            <w:tcW w:type="dxa" w:w="7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Il budget welfare è in escrow segregato per cliente presso l'istituto di pagamento. KORA invia solo istruzioni tecniche configurate. Non custodisce, non incassa, non dispone direttamente fondi.</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Il budget welfare non è ricavo KORA</w:t>
            </w:r>
          </w:p>
        </w:tc>
        <w:tc>
          <w:tcPr>
            <w:tcW w:type="dxa" w:w="7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Il transato welfare non transita dal CE di KORA né come ricavo né come costo. Va iscritto nei conti d'ordine.</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5"/>
                <w:szCs w:val="15"/>
              </w:rPr>
              <w:t xml:space="preserve">La fatturazione aggregata è riaddebito/mandato/conto d'ordine</w:t>
            </w:r>
          </w:p>
        </w:tc>
        <w:tc>
          <w:tcPr>
            <w:tcW w:type="dxa" w:w="7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La struttura di rendicontazione che KORA produce verso l'azienda non è una fattura di vendita propria per il valore dei servizi partner. È un documento di regolazione/riaddebito la cui natura esatta deve essere validata dal commercialista welfare.</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7.3 Le tre varianti di fatturazione partner</w:t>
      </w:r>
    </w:p>
    <w:p>
      <w:pPr>
        <w:spacing w:after="80" w:before="60"/>
        <w:jc w:val="both"/>
      </w:pPr>
      <w:r>
        <w:rPr>
          <w:rFonts w:ascii="Arial" w:cs="Arial" w:eastAsia="Arial" w:hAnsi="Arial"/>
          <w:sz w:val="20"/>
          <w:szCs w:val="20"/>
        </w:rPr>
        <w:t xml:space="preserve">La struttura con cui i partner emettono documentazione fiscale è il punto tecnico più delicato del SVAM. Tre varianti sono possibili; la scelta è rimessa al commercialista welfare e al legal advisor.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600"/>
        <w:gridCol w:w="1600"/>
        <w:gridCol w:w="2200"/>
      </w:tblGrid>
      <w:tr>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Variante</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Pro</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Contro</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Rischio fiscale</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Impatto procurement</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Validazione</w:t>
            </w:r>
          </w:p>
        </w:tc>
      </w:tr>
      <w:tr>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 — Partner fattura a KORA come centralizzatore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Semplice per il partner. KORA ha piena visibilità documentale. Un solo flusso fattura da riconciliare.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riceve fatture con IVA da partner. Rischio che il flusso sia letto come acquisto-rivendita se non strutturato come partita di giro.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ALTO se non strutturato: il valore potrebbe essere letto come costo+ricavo KORA. Richiede esplicita qualifica di mandato/partita di giro.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OTTIMO: l'azienda non riceve fatture dai partner.</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3"/>
                <w:szCs w:val="13"/>
              </w:rPr>
              <w:t xml:space="preserve">Obbligatoria: commercialista welfare su natura partita di giro, trattamento IVA in ingresso, non-transito a CE KORA.</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B — Partner emette nota/documento verso KORA</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Più flessibile fiscalmente. La nota può non essere una fattura IVA se il pagamento è già eseguito dall'istituto di pagamento.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Non standardizzato: non tutti i partner emettono note di debito. Richiede istruzione operativa ai partner.</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MEDIO: dipende dalla natura del documento. Idoneità ai fini probatori art. 51 TUIR da validare.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OTTIMO: stessa logica della variante A.</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3"/>
                <w:szCs w:val="13"/>
              </w:rPr>
              <w:t xml:space="preserve">Obbligatoria: commercialista welfare + legal advisor su idoneità del documento e implicazioni IVA per il partner.</w:t>
            </w:r>
          </w:p>
        </w:tc>
      </w:tr>
      <w:tr>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 — Partner fattura all'azienda con KORA mandatario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Fiscalmente più trasparente: rapporto commerciale diretto partner-azienda. Nessun rischio acquisto-rivendita KORA.</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L'azienda riceve N fatture dai partner. Se non c'è consolidamento documentale operativo, il burden procurement ritorna.</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BASSO per KORA. Il rischio si sposta sull'azienda che gestisce fatture multiple.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CRITICO se senza servizio di consolidamento: accettabile solo se KORA produce dossier unico che l'ufficio acquisti usa come documento di riferimento.</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3"/>
                <w:szCs w:val="13"/>
              </w:rPr>
              <w:t xml:space="preserve">Obbligatoria: consulente del lavoro su coerenza con art. 51 TUIR. Legal advisor su struttura mandato e limiti di responsabilità KORA.</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7.4 Clausole contrattuali essenziali (MSA)</w:t>
      </w:r>
    </w:p>
    <w:p>
      <w:pPr>
        <w:spacing w:after="10" w:before="60"/>
        <w:jc w:val="both"/>
      </w:pPr>
      <w:r>
        <w:rPr>
          <w:rFonts w:ascii="Arial" w:cs="Arial" w:eastAsia="Arial" w:hAnsi="Arial"/>
          <w:b/>
          <w:bCs/>
          <w:color w:val="1F3864"/>
          <w:sz w:val="18"/>
          <w:szCs w:val="18"/>
        </w:rPr>
        <w:t xml:space="preserve">Centralizzazione amministrativa</w:t>
      </w:r>
    </w:p>
    <w:p>
      <w:pPr>
        <w:pBdr>
          <w:left w:val="single" w:color="2E75B6" w:sz="12"/>
        </w:pBdr>
        <w:spacing w:after="40" w:before="0"/>
        <w:ind w:left="360"/>
        <w:jc w:val="both"/>
      </w:pPr>
      <w:r>
        <w:rPr>
          <w:rFonts w:ascii="Arial" w:cs="Arial" w:eastAsia="Arial" w:hAnsi="Arial"/>
          <w:i/>
          <w:iCs/>
          <w:sz w:val="17"/>
          <w:szCs w:val="17"/>
        </w:rPr>
        <w:t xml:space="preserve">«</w:t>
      </w:r>
      <w:r>
        <w:rPr>
          <w:rFonts w:ascii="Arial" w:cs="Arial" w:eastAsia="Arial" w:hAnsi="Arial"/>
          <w:i/>
          <w:iCs/>
          <w:color w:val="333333"/>
          <w:sz w:val="17"/>
          <w:szCs w:val="17"/>
        </w:rPr>
        <w:t xml:space="preserve">KORA agisce come unica interfaccia amministrativa dell'Azienda per l'erogazione dei servizi nel Programma. L'Azienda non onboarda individualmente i Partner certificati come fornitori propri.</w:t>
      </w:r>
      <w:r>
        <w:rPr>
          <w:rFonts w:ascii="Arial" w:cs="Arial" w:eastAsia="Arial" w:hAnsi="Arial"/>
          <w:i/>
          <w:iCs/>
          <w:sz w:val="17"/>
          <w:szCs w:val="17"/>
        </w:rPr>
        <w:t xml:space="preserve">»</w:t>
      </w:r>
    </w:p>
    <w:p>
      <w:pPr>
        <w:spacing w:after="10" w:before="60"/>
        <w:jc w:val="both"/>
      </w:pPr>
      <w:r>
        <w:rPr>
          <w:rFonts w:ascii="Arial" w:cs="Arial" w:eastAsia="Arial" w:hAnsi="Arial"/>
          <w:b/>
          <w:bCs/>
          <w:color w:val="1F3864"/>
          <w:sz w:val="18"/>
          <w:szCs w:val="18"/>
        </w:rPr>
        <w:t xml:space="preserve">Istruzione tecnica / non-mandato diretto</w:t>
      </w:r>
    </w:p>
    <w:p>
      <w:pPr>
        <w:pBdr>
          <w:left w:val="single" w:color="2E75B6" w:sz="12"/>
        </w:pBdr>
        <w:spacing w:after="40" w:before="0"/>
        <w:ind w:left="360"/>
        <w:jc w:val="both"/>
      </w:pPr>
      <w:r>
        <w:rPr>
          <w:rFonts w:ascii="Arial" w:cs="Arial" w:eastAsia="Arial" w:hAnsi="Arial"/>
          <w:i/>
          <w:iCs/>
          <w:sz w:val="17"/>
          <w:szCs w:val="17"/>
        </w:rPr>
        <w:t xml:space="preserve">«</w:t>
      </w:r>
      <w:r>
        <w:rPr>
          <w:rFonts w:ascii="Arial" w:cs="Arial" w:eastAsia="Arial" w:hAnsi="Arial"/>
          <w:i/>
          <w:iCs/>
          <w:color w:val="333333"/>
          <w:sz w:val="17"/>
          <w:szCs w:val="17"/>
        </w:rPr>
        <w:t xml:space="preserve">KORA configura e trasmette istruzioni tecniche all'istituto di pagamento, sulla base delle regole approvate dall'Azienda e delle prenotazioni autorizzate dal sistema. KORA non detiene, non incassa, non custodisce e non dispone direttamente fondi. [La scelta della qualificazione giuridica specifica — mandato, commissione, semplice prestazione tecnica — è rimessa al legal advisor.]</w:t>
      </w:r>
      <w:r>
        <w:rPr>
          <w:rFonts w:ascii="Arial" w:cs="Arial" w:eastAsia="Arial" w:hAnsi="Arial"/>
          <w:i/>
          <w:iCs/>
          <w:sz w:val="17"/>
          <w:szCs w:val="17"/>
        </w:rPr>
        <w:t xml:space="preserve">»</w:t>
      </w:r>
    </w:p>
    <w:p>
      <w:pPr>
        <w:spacing w:after="10" w:before="60"/>
        <w:jc w:val="both"/>
      </w:pPr>
      <w:r>
        <w:rPr>
          <w:rFonts w:ascii="Arial" w:cs="Arial" w:eastAsia="Arial" w:hAnsi="Arial"/>
          <w:b/>
          <w:bCs/>
          <w:color w:val="1F3864"/>
          <w:sz w:val="18"/>
          <w:szCs w:val="18"/>
        </w:rPr>
        <w:t xml:space="preserve">Distinzione KORA Fees / valore servizi partner</w:t>
      </w:r>
    </w:p>
    <w:p>
      <w:pPr>
        <w:pBdr>
          <w:left w:val="single" w:color="2E75B6" w:sz="12"/>
        </w:pBdr>
        <w:spacing w:after="40" w:before="0"/>
        <w:ind w:left="360"/>
        <w:jc w:val="both"/>
      </w:pPr>
      <w:r>
        <w:rPr>
          <w:rFonts w:ascii="Arial" w:cs="Arial" w:eastAsia="Arial" w:hAnsi="Arial"/>
          <w:i/>
          <w:iCs/>
          <w:sz w:val="17"/>
          <w:szCs w:val="17"/>
        </w:rPr>
        <w:t xml:space="preserve">«</w:t>
      </w:r>
      <w:r>
        <w:rPr>
          <w:rFonts w:ascii="Arial" w:cs="Arial" w:eastAsia="Arial" w:hAnsi="Arial"/>
          <w:i/>
          <w:iCs/>
          <w:color w:val="333333"/>
          <w:sz w:val="17"/>
          <w:szCs w:val="17"/>
        </w:rPr>
        <w:t xml:space="preserve">Le KORA Fees fatturate da KORA comprendono esclusivamente i corrispettivi per i servizi propri di KORA. Il valore dei servizi partner non è incluso nelle KORA Fees e non costituisce ricavo KORA.</w:t>
      </w:r>
      <w:r>
        <w:rPr>
          <w:rFonts w:ascii="Arial" w:cs="Arial" w:eastAsia="Arial" w:hAnsi="Arial"/>
          <w:i/>
          <w:iCs/>
          <w:sz w:val="17"/>
          <w:szCs w:val="17"/>
        </w:rPr>
        <w:t xml:space="preserve">»</w:t>
      </w:r>
    </w:p>
    <w:p>
      <w:pPr>
        <w:spacing w:after="10" w:before="60"/>
        <w:jc w:val="both"/>
      </w:pPr>
      <w:r>
        <w:rPr>
          <w:rFonts w:ascii="Arial" w:cs="Arial" w:eastAsia="Arial" w:hAnsi="Arial"/>
          <w:b/>
          <w:bCs/>
          <w:color w:val="1F3864"/>
          <w:sz w:val="18"/>
          <w:szCs w:val="18"/>
        </w:rPr>
        <w:t xml:space="preserve">Disclaimer fiscale</w:t>
      </w:r>
    </w:p>
    <w:p>
      <w:pPr>
        <w:pBdr>
          <w:left w:val="single" w:color="2E75B6" w:sz="12"/>
        </w:pBdr>
        <w:spacing w:after="40" w:before="0"/>
        <w:ind w:left="360"/>
        <w:jc w:val="both"/>
      </w:pPr>
      <w:r>
        <w:rPr>
          <w:rFonts w:ascii="Arial" w:cs="Arial" w:eastAsia="Arial" w:hAnsi="Arial"/>
          <w:i/>
          <w:iCs/>
          <w:sz w:val="17"/>
          <w:szCs w:val="17"/>
        </w:rPr>
        <w:t xml:space="preserve">«</w:t>
      </w:r>
      <w:r>
        <w:rPr>
          <w:rFonts w:ascii="Arial" w:cs="Arial" w:eastAsia="Arial" w:hAnsi="Arial"/>
          <w:i/>
          <w:iCs/>
          <w:color w:val="333333"/>
          <w:sz w:val="17"/>
          <w:szCs w:val="17"/>
        </w:rPr>
        <w:t xml:space="preserve">KORA non certifica il trattamento fiscale delle erogazioni. L'Azienda resta responsabile della correttezza della qualificazione fiscale dei benefit erogati ai propri dipendenti.</w:t>
      </w:r>
      <w:r>
        <w:rPr>
          <w:rFonts w:ascii="Arial" w:cs="Arial" w:eastAsia="Arial" w:hAnsi="Arial"/>
          <w:i/>
          <w:iCs/>
          <w:sz w:val="17"/>
          <w:szCs w:val="17"/>
        </w:rPr>
        <w:t xml:space="preserve">»</w:t>
      </w:r>
    </w:p>
    <w:p>
      <w:pPr>
        <w:spacing w:after="10" w:before="60"/>
        <w:jc w:val="both"/>
      </w:pPr>
      <w:r>
        <w:rPr>
          <w:rFonts w:ascii="Arial" w:cs="Arial" w:eastAsia="Arial" w:hAnsi="Arial"/>
          <w:b/>
          <w:bCs/>
          <w:color w:val="1F3864"/>
          <w:sz w:val="18"/>
          <w:szCs w:val="18"/>
        </w:rPr>
        <w:t xml:space="preserve">Audit right</w:t>
      </w:r>
    </w:p>
    <w:p>
      <w:pPr>
        <w:pBdr>
          <w:left w:val="single" w:color="2E75B6" w:sz="12"/>
        </w:pBdr>
        <w:spacing w:after="40" w:before="0"/>
        <w:ind w:left="360"/>
        <w:jc w:val="both"/>
      </w:pPr>
      <w:r>
        <w:rPr>
          <w:rFonts w:ascii="Arial" w:cs="Arial" w:eastAsia="Arial" w:hAnsi="Arial"/>
          <w:i/>
          <w:iCs/>
          <w:sz w:val="17"/>
          <w:szCs w:val="17"/>
        </w:rPr>
        <w:t xml:space="preserve">«</w:t>
      </w:r>
      <w:r>
        <w:rPr>
          <w:rFonts w:ascii="Arial" w:cs="Arial" w:eastAsia="Arial" w:hAnsi="Arial"/>
          <w:i/>
          <w:iCs/>
          <w:color w:val="333333"/>
          <w:sz w:val="17"/>
          <w:szCs w:val="17"/>
        </w:rPr>
        <w:t xml:space="preserve">L'Azienda ha diritto di richiedere in qualsiasi momento il fascicolo documentale completo. KORA lo produce entro 5 giorni lavorativi.</w:t>
      </w:r>
      <w:r>
        <w:rPr>
          <w:rFonts w:ascii="Arial" w:cs="Arial" w:eastAsia="Arial" w:hAnsi="Arial"/>
          <w:i/>
          <w:iCs/>
          <w:sz w:val="17"/>
          <w:szCs w:val="17"/>
        </w:rPr>
        <w:t xml:space="preserve">»</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8. Fiscal Categories &amp; Guardrails — Categorie fiscali trattate da KORA</w:t>
      </w:r>
    </w:p>
    <w:p>
      <w:pPr>
        <w:spacing w:after="80" w:before="60"/>
        <w:jc w:val="both"/>
      </w:pPr>
      <w:r>
        <w:rPr>
          <w:rFonts w:ascii="Arial" w:cs="Arial" w:eastAsia="Arial" w:hAnsi="Arial"/>
          <w:sz w:val="20"/>
          <w:szCs w:val="20"/>
        </w:rPr>
        <w:t xml:space="preserve">KORA non è un consulente fiscale e non certifica il trattamento tributario delle categorie orchestrate. La classificazione fiscale di ogni categoria è dichiarata dall'azienda, configurata nel Fiscal Guardrails Engine, validata dai propri advisor, e tracciata da KORA nell'audit trail.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900"/>
        <w:gridCol w:w="1000"/>
        <w:gridCol w:w="600"/>
        <w:gridCol w:w="600"/>
        <w:gridCol w:w="600"/>
        <w:gridCol w:w="600"/>
        <w:gridCol w:w="700"/>
      </w:tblGrid>
      <w:tr>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Categoria</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Descrizione</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Esempi</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Funding source</w:t>
            </w:r>
          </w:p>
        </w:tc>
        <w:tc>
          <w:tcPr>
            <w:tcW w:type="dxa" w:w="1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Trattamento fiscale</w:t>
            </w:r>
          </w:p>
        </w:tc>
        <w:tc>
          <w:tcPr>
            <w:tcW w:type="dxa" w:w="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FUO?</w:t>
            </w:r>
          </w:p>
        </w:tc>
        <w:tc>
          <w:tcPr>
            <w:tcW w:type="dxa" w:w="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Ricavo KORA?</w:t>
            </w:r>
          </w:p>
        </w:tc>
        <w:tc>
          <w:tcPr>
            <w:tcW w:type="dxa" w:w="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Payout?</w:t>
            </w:r>
          </w:p>
        </w:tc>
        <w:tc>
          <w:tcPr>
            <w:tcW w:type="dxa" w:w="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Wel.Stmt?</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Payroll rel.?</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1. Welfare ex art. 51 TUIR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Benefit esclusi dal reddito di lavoro dipendente ex art. 51 c.2 TUIR. Non convertibili in denaro.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Educazione, istruzione, asili, assistenza familiare/anziani, sanità integrativa, previdenza, TPL, attività ricreative.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(company-funded)</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Agevolato entro perimetro vigente. Validazione per singolo servizio obbligatoria.</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2. Fringe benefit</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Benefit individuali exart. 51 c.3 TUIR. Esenzione entro soglia annuale. Sopra soglia: imponibile.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Voucher, buoni acquisto, beni in natura, rimborsi utenze (se ammessi dalla normativa vigente).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Agevolato entro soglia annuale (da aggiornare annualmente secondo normativa vigente).</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3. Formazione / training</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Budget aziendale per formazione. Non necessariamente welfare ex art. 51 TUIR.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Corsi interni/esterni, formazione obbligatoria, certificazioni, LMS, academy, coaching.</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(HR/Training)</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Costo deducibile per l'azienda (art. 95 TUIR). Non necessariamente agevolato per il lavoratore.</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4. Salute e sicurezza / HSE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Budget HSE. Può sovrapporsi con welfare sanitario o essere budget operativo separato.</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Formazione sicurezza obbligatoria, screening preventivi, ergonomia, DPI formativi, wellbeing workplace.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(HSE/operativo)</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Variabile: formazione sicurezza = costo aziendale; screening/wellbeing = potenzialmente welfare.</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700"/>
            <w:gridSpan w:val="1"/>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N/A</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5. CSR / ESG / community</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Budget per iniziative di responsabilità sociale, territoriali. Separato dal welfare dei dipendenti.</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Volontariato aziendale, KIP, progetti territoriali, partnership Comune/ETS/ASD, iniziative ESG.</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(CSR/ESG)</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Non welfare lavoratore. Deducibilità liberalità da verificare (art. 100 TUIR). KIP: flusso diretto azienda → progetto.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6. HR discretionary</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Budget HR per iniziative interne non agevolate fiscalmente per il lavoratore.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Team activity, programmi genitorialità, engagement, wellbeing non agevolato, eventi aziendali.</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(HR)</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Costo aziendale generico. Rischio imponibilità se configurato come retribuzione di fatto.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 Employee-paid</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Il lavoratore usa KORA con fondi personali propri. Non è welfare aziendale.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Top-up personale, acquisti presso partner KORA, Premium Personal, prosecuzione volontaria.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Lavoratore (personale)</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Spesa personale post-tassazione. IVA ordinaria sui servizi. Nessuna agevolazione specifica.</w:t>
            </w:r>
          </w:p>
        </w:tc>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N/A</w:t>
            </w:r>
          </w:p>
        </w:tc>
        <w:tc>
          <w:tcPr>
            <w:tcW w:type="dxa" w:w="6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VAR (service fee)</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8. Co-funded</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Quota aziendale + quota lavoratore. Separazione contabile dei due flussi obbligatoria.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Welfare aziendale + integrazione personale per upgrade, co-payment su sanitario, prolungamento servizio.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 Lavoratore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Quota aziendale segue trattamento welfare (se qualificata). Quota lavoratore è spesa personale.</w:t>
            </w:r>
          </w:p>
        </w:tc>
        <w:tc>
          <w:tcPr>
            <w:tcW w:type="dxa" w:w="6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color w:val="7F6000"/>
                <w:sz w:val="15"/>
                <w:szCs w:val="15"/>
              </w:rPr>
              <w:t xml:space="preserve">PARZ</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SÌ</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5"/>
                <w:szCs w:val="15"/>
              </w:rPr>
              <w:t xml:space="preserve">VAR</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 Non-monetary / no-payment</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Azioni che generano Impact Units e KORA Index ma nessun pagamento a partner.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Mentoring interno, volontariato, partecipazione community, eventi senza corrispettivo.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Nessun flusso</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Nessuna rilevanza fiscale diretta. Solo dato algoritmico (Verified Action, KORA Index).</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595959"/>
                <w:sz w:val="15"/>
                <w:szCs w:val="15"/>
              </w:rPr>
              <w:t xml:space="preserve">NO</w:t>
            </w:r>
          </w:p>
        </w:tc>
      </w:tr>
    </w:tbl>
    <w:p>
      <w:pPr>
        <w:spacing w:after="60" w:before="60"/>
        <w:jc w:val="both"/>
      </w:pPr>
      <w:r>
        <w:rPr>
          <w:rFonts w:ascii="Arial" w:cs="Arial" w:eastAsia="Arial" w:hAnsi="Arial"/>
          <w:sz w:val="20"/>
          <w:szCs w:val="20"/>
        </w:rPr>
        <w:t xml:space="preserve"/>
      </w:r>
    </w:p>
    <w:p>
      <w:pPr>
        <w:pBdr>
          <w:left w:val="single" w:color="2E75B6" w:sz="12"/>
        </w:pBdr>
        <w:spacing w:after="60" w:before="80"/>
        <w:ind w:left="360"/>
      </w:pPr>
      <w:r>
        <w:rPr>
          <w:rFonts w:ascii="Arial" w:cs="Arial" w:eastAsia="Arial" w:hAnsi="Arial"/>
          <w:b/>
          <w:bCs/>
          <w:color w:val="2E75B6"/>
          <w:sz w:val="17"/>
          <w:szCs w:val="17"/>
        </w:rPr>
        <w:t xml:space="preserve">VALIDATION REQUIRED  </w:t>
      </w:r>
      <w:r>
        <w:rPr>
          <w:rFonts w:ascii="Arial" w:cs="Arial" w:eastAsia="Arial" w:hAnsi="Arial"/>
          <w:i/>
          <w:iCs/>
          <w:color w:val="444444"/>
          <w:sz w:val="17"/>
          <w:szCs w:val="17"/>
        </w:rPr>
        <w:t xml:space="preserve">La qualifica fiscale di ogni categoria e servizio specifico deve essere validata da commercialista welfare e consulente del lavoro prima dell'inserimento nel programma welfare del cliente. Le soglie fringe benefit devono essere aggiornate annualmente secondo normativa vigente su comunicazione del consulente del lavoro.</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9. Fiscal Classification Data Model</w:t>
      </w:r>
    </w:p>
    <w:p>
      <w:pPr>
        <w:spacing w:after="80" w:before="60"/>
        <w:jc w:val="both"/>
      </w:pPr>
      <w:r>
        <w:rPr>
          <w:rFonts w:ascii="Arial" w:cs="Arial" w:eastAsia="Arial" w:hAnsi="Arial"/>
          <w:sz w:val="20"/>
          <w:szCs w:val="20"/>
        </w:rPr>
        <w:t xml:space="preserve">Ogni transazione che transita nella piattaforma KORA porta un set strutturato di campi di classificazione fiscale, compilati in fase di configurazione del programma e aggiornati in real-time dal Fiscal Guardrails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900"/>
        <w:gridCol w:w="850"/>
        <w:gridCol w:w="2550"/>
      </w:tblGrid>
      <w:tr>
        <w:tc>
          <w:tcPr>
            <w:tcW w:type="dxa" w:w="17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Campo</w:t>
            </w:r>
          </w:p>
        </w:tc>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Significato</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Valori possibili</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Chi compila</w:t>
            </w:r>
          </w:p>
        </w:tc>
        <w:tc>
          <w:tcPr>
            <w:tcW w:type="dxa" w:w="8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Chi valida</w:t>
            </w:r>
          </w:p>
        </w:tc>
        <w:tc>
          <w:tcPr>
            <w:tcW w:type="dxa" w:w="255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Dove usato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fiscal_category</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Categoria fiscale principale dell'evento.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welfare_51tuir | fringe_benefit | formazione | hse | csr_esg | hr_discretionary | employee_paid | co_funded | no_payment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(config. programma)</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Welfare Statement, piano dei conti, rendicontazione</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fiscal_subcategory</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Sottocategoria specifica.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educazione | sanita_integrativa | tpl | previdenza | voucher | ecc.</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 KORA</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Welfare Statement, audit trail</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funding_source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Soggetto che finanzia il flusso.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company_funded | employee_funded | co_funded | no_payment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Config. programma</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 + Consulente del lavoro</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Separazione FUO, conti d'ordine</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tax_treatment_status</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Status del trattamento fiscale.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agevolato_51tuir | agevolato_entro_soglia | non_agevolato | da_validare | fuori_perimetro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 advisor</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(blocco se 'da_validare'), audit trail</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fiscal_validation_status</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Stato validazione professionale.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validated | validation_pending | requires_review | not_applicable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KORA (aggiornato su input advisor)</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fascicolo accertamento</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payroll_relevance_flag</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Impatto sul cedolino del lavoratore.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true | false | conditional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Config. programma</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Consulente del lavoro</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Welfare Statement, alert payroll automatico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welfare_statement_flag</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Inclusione nel Welfare Statement mensile.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true | false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Config. programma / Guardrails</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Consulente del lavoro</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Produzione Welfare Statement mensile</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fringe_threshold_relevance</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Concorre al cumulato fringe benefit annuo.</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true | false | partial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Config. categoria</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(controllo soglia), Welfare Statement</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partner_document_required_flag</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Tipo di documento probatorio richiesto dal partner.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fattura | attestato | dichiarazione | none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Config. partner</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 welfare + Consulente del lavoro</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(blocco se assente), audit trail</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payment_flow_type</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Tipo di flusso economico generato.</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fuo_company | fuo_worker | co_funded | no_payment | employee_topup</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automatico</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 + legal PSD2</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Conti d'ordine, istituto di pagamento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fuo_relevance_flag</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Genera FUO aziendale.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true | false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automatico</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 welfare</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Conti d'ordine, rendicontazione investor</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revenue_relevance_flag</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Genera ricavo KORA.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true | false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Config. commerciale KORA</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CFO KORA / comm.</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Piano dei conti KORA (classe 70), SDI</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employee_taxable_risk_flag</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Rischio imponibilità per il lavoratore.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low | medium | high | requires_payroll_review</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automatico</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Consulente del lavoro</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Alert payroll, Welfare Statement</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guardrail_result</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Esito del Fiscal Guardrails Engine.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approved | approved_with_warning | blocked | requires_advisor_validation | requires_payroll_review | outside_welfare_scope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Guardrails automatico</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Sistema KORA</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Audit trail, notifica lavoratore/azienda</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advisor_validation_reference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Riferimento al parere professionale scritto.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codice parere + data + advisor</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KORA (input dal cliente)</w:t>
            </w:r>
          </w:p>
        </w:tc>
        <w:tc>
          <w:tcPr>
            <w:tcW w:type="dxa" w:w="8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Founder / compliance KORA</w:t>
            </w:r>
          </w:p>
        </w:tc>
        <w:tc>
          <w:tcPr>
            <w:tcW w:type="dxa" w:w="255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Audit trail, fascicolo accertamento</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audit_trail_reference</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Identificativo univoco del log entry.</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UUID generato dal sistema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Sistema KORA</w:t>
            </w:r>
          </w:p>
        </w:tc>
        <w:tc>
          <w:tcPr>
            <w:tcW w:type="dxa" w:w="8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Sistema KORA</w:t>
            </w:r>
          </w:p>
        </w:tc>
        <w:tc>
          <w:tcPr>
            <w:tcW w:type="dxa" w:w="255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Fascicolo accertamento, DPO log</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10. Fiscal Guardrails Engine</w:t>
      </w:r>
    </w:p>
    <w:p>
      <w:pPr>
        <w:spacing w:after="80" w:before="60"/>
        <w:jc w:val="both"/>
      </w:pPr>
      <w:r>
        <w:rPr>
          <w:rFonts w:ascii="Arial" w:cs="Arial" w:eastAsia="Arial" w:hAnsi="Arial"/>
          <w:sz w:val="20"/>
          <w:szCs w:val="20"/>
        </w:rPr>
        <w:t xml:space="preserve">Il Fiscal Guardrails Engine è la componente software di KORA che applica, prima dell'autorizzazione di ogni evento o transazione, una sequenza configurabile di controlli fiscali e operativi. Opera secondo il principio del fail-safe: in caso di dubbio, blocca o rinvia in manual review, mai approva implicitamente. Non sostituisce il parere del consulente: implementa le regole che gli advisor hanno validato.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
        <w:gridCol w:w="1900"/>
        <w:gridCol w:w="2600"/>
        <w:gridCol w:w="2400"/>
        <w:gridCol w:w="900"/>
        <w:gridCol w:w="1380"/>
      </w:tblGrid>
      <w:tr>
        <w:tc>
          <w:tcPr>
            <w:tcW w:type="dxa" w:w="32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w:t>
            </w:r>
          </w:p>
        </w:tc>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Controllo</w:t>
            </w:r>
          </w:p>
        </w:tc>
        <w:tc>
          <w:tcPr>
            <w:tcW w:type="dxa" w:w="2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Logica</w:t>
            </w:r>
          </w:p>
        </w:tc>
        <w:tc>
          <w:tcPr>
            <w:tcW w:type="dxa" w:w="2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Categorie rilevanti</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Esito se fallisce</w:t>
            </w:r>
          </w:p>
        </w:tc>
        <w:tc>
          <w:tcPr>
            <w:tcW w:type="dxa" w:w="138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Owner configuraz.</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1</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Categoria fiscale configurata</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il servizio appartenga a categoria configurata nel programma del cliente con status ≠ 'da_validare' per categorie critiche.</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Tutte (obbligatorio)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 / requires_advisor_validation</w:t>
            </w:r>
          </w:p>
        </w:tc>
        <w:tc>
          <w:tcPr>
            <w:tcW w:type="dxa" w:w="13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 KORA</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Budget disponibile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capienza del FUO / sub-wallet per la transazione richiesta.</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1,2,3,4,7,8</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w:t>
            </w:r>
          </w:p>
        </w:tc>
        <w:tc>
          <w:tcPr>
            <w:tcW w:type="dxa" w:w="13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Istituto di pagamento + KORA</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3</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Plafond individuale</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l'importo non superi il plafond annuo/mensile del lavoratore.</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1,2,7,8</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 (con indicazione residuo)</w:t>
            </w:r>
          </w:p>
        </w:tc>
        <w:tc>
          <w:tcPr>
            <w:tcW w:type="dxa" w:w="13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Azienda (configurazione programma)</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4</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Soglia fringe benefit</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Per categorie con fringe_threshold_relevance=true: verifica cumulato annuo vs soglia vigente (da aggiornare annualmente).</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2 (principale), 1 (parziale)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approved_with_warning → blocked</w:t>
            </w:r>
          </w:p>
        </w:tc>
        <w:tc>
          <w:tcPr>
            <w:tcW w:type="dxa" w:w="13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 (update annuale)</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5</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Categoria omogenea</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il lavoratore appartenga alla categoria omogenea autorizzata al programma specifico.</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 (obbligatorio per welfare puro)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w:t>
            </w:r>
          </w:p>
        </w:tc>
        <w:tc>
          <w:tcPr>
            <w:tcW w:type="dxa" w:w="13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Consulente del lavoro + azienda</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6</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Partner abilitato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il partner sia certificato, attivo e abilitato alla fiscal_category specifica.</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1,2,3,4,7,8</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 (con suggerimento alternativo)</w:t>
            </w:r>
          </w:p>
        </w:tc>
        <w:tc>
          <w:tcPr>
            <w:tcW w:type="dxa" w:w="13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KORA network + advisor</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7</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Documento probatorio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il partner possa rilasciare il tipo di documento richiesto (partner_document_required_flag).</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 (obbligatorio), 2,3,4 (variabile)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w:t>
            </w:r>
          </w:p>
        </w:tc>
        <w:tc>
          <w:tcPr>
            <w:tcW w:type="dxa" w:w="13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8</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Non convertibilità in denaro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il servizio non configurino disponibilità monetaria libera. Blocco assoluto: non può essere sovrascritto.</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1,2 (obbligatorio)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 (fail-safe, non sovrascrivibile)</w:t>
            </w:r>
          </w:p>
        </w:tc>
        <w:tc>
          <w:tcPr>
            <w:tcW w:type="dxa" w:w="13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KORA (architetturale)</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9</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Tracciabilità beneficiario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che il lavoratore beneficiario sia identificato e il log sia completo.</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Tutte con flusso economico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blocked</w:t>
            </w:r>
          </w:p>
        </w:tc>
        <w:tc>
          <w:tcPr>
            <w:tcW w:type="dxa" w:w="13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KORA sistema</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10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Payroll relevance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Se payroll_relevance_flag=true: aggiunge flag nel log. Se soglie critiche superate: escalation automatica.</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1,2 (principali)</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requires_payroll_review</w:t>
            </w:r>
          </w:p>
        </w:tc>
        <w:tc>
          <w:tcPr>
            <w:tcW w:type="dxa" w:w="13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Consulente del lavoro cliente</w:t>
            </w:r>
          </w:p>
        </w:tc>
      </w:tr>
      <w:tr>
        <w:tc>
          <w:tcPr>
            <w:tcW w:type="dxa" w:w="32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11</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Compatibilità Welfare Statement</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Verifica coerenza tra welfare_statement_flag e categoria. Mismatch genera warning.</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1,2,8</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approved_with_warning</w:t>
            </w:r>
          </w:p>
        </w:tc>
        <w:tc>
          <w:tcPr>
            <w:tcW w:type="dxa" w:w="138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KORA sistema</w:t>
            </w:r>
          </w:p>
        </w:tc>
      </w:tr>
      <w:tr>
        <w:tc>
          <w:tcPr>
            <w:tcW w:type="dxa" w:w="32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6"/>
                <w:szCs w:val="16"/>
              </w:rPr>
              <w:t xml:space="preserve">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Validazione advisor richiesta</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Per categorie con tax_treatment_status='da_validare': non processabile come welfare senza parere scritto.</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Tutte (categorie non validate)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3"/>
                <w:szCs w:val="13"/>
              </w:rPr>
              <w:t xml:space="preserve">requires_advisor_validation</w:t>
            </w:r>
          </w:p>
        </w:tc>
        <w:tc>
          <w:tcPr>
            <w:tcW w:type="dxa" w:w="138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Commercialista welfare</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Esiti del Guardrail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100"/>
        <w:gridCol w:w="1500"/>
        <w:gridCol w:w="1400"/>
      </w:tblGrid>
      <w:tr>
        <w:tc>
          <w:tcPr>
            <w:tcW w:type="dxa" w:w="17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Esito</w:t>
            </w:r>
          </w:p>
        </w:tc>
        <w:tc>
          <w:tcPr>
            <w:tcW w:type="dxa" w:w="2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Significato</w:t>
            </w:r>
          </w:p>
        </w:tc>
        <w:tc>
          <w:tcPr>
            <w:tcW w:type="dxa" w:w="2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Azione operativa</w:t>
            </w:r>
          </w:p>
        </w:tc>
        <w:tc>
          <w:tcPr>
            <w:tcW w:type="dxa" w:w="15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Effetto sul payout</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Effetto sul Welfare Stmt.</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approved</w:t>
            </w:r>
          </w:p>
        </w:tc>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Tutti i controlli superati.</w:t>
            </w:r>
          </w:p>
        </w:tc>
        <w:tc>
          <w:tcPr>
            <w:tcW w:type="dxa" w:w="2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eseguita. Istruzione inviata a istituto di pagamento. Audit trail aggiornato.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Payout eseguito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Entry nel Welfare Statement</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5"/>
                <w:szCs w:val="15"/>
              </w:rPr>
              <w:t xml:space="preserve">approved_with_warning</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autorizzata con one warning (soglia fringe prossima, plafond quasi esaurito, documento in attesa).</w:t>
            </w:r>
          </w:p>
        </w:tc>
        <w:tc>
          <w:tcPr>
            <w:tcW w:type="dxa" w:w="2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eseguita con flag warning. Alert a referente aziendale.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Payout eseguito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Entry nel Welfare Statement con flag</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5"/>
                <w:szCs w:val="15"/>
              </w:rPr>
              <w:t xml:space="preserve">blocked</w:t>
            </w:r>
          </w:p>
        </w:tc>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Almeno un controllo critico fallito (non-convertibilità, soglia superata, partner non abilitato, budget insufficiente).</w:t>
            </w:r>
          </w:p>
        </w:tc>
        <w:tc>
          <w:tcPr>
            <w:tcW w:type="dxa" w:w="2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non eseguita. Lavoratore riceve motivazione specifica del blocco.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 payout</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Nessuna entry</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5"/>
                <w:szCs w:val="15"/>
              </w:rPr>
              <w:t xml:space="preserve">requires_advisor_validation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Categoria in 'da_validare'. Non processabile come welfare senza parere scritto.</w:t>
            </w:r>
          </w:p>
        </w:tc>
        <w:tc>
          <w:tcPr>
            <w:tcW w:type="dxa" w:w="2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sospesa. Alert a KORA e cliente per avviare la validazione.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 payout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Nessuna entry</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5"/>
                <w:szCs w:val="15"/>
              </w:rPr>
              <w:t xml:space="preserve">requires_payroll_review</w:t>
            </w:r>
          </w:p>
        </w:tc>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Evento con payroll_relevance alta o soglia critica superata.</w:t>
            </w:r>
          </w:p>
        </w:tc>
        <w:tc>
          <w:tcPr>
            <w:tcW w:type="dxa" w:w="2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sospesa o eseguita (secondo config.) con flag di revisione obbligatoria.</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Payout condizionale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Entry con flag payroll_review</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5"/>
                <w:szCs w:val="15"/>
              </w:rPr>
              <w:t xml:space="preserve">outside_welfare_scope</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Il servizio non rientra nelle categorie welfare configurate per il cliente.</w:t>
            </w:r>
          </w:p>
        </w:tc>
        <w:tc>
          <w:tcPr>
            <w:tcW w:type="dxa" w:w="2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Evento registrato come Verified Action algoritmico. Nessun flusso economico welfare.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 payout welfare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Nessuna entry nel Welfare Statement</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11. Welfare Statement</w:t>
      </w:r>
    </w:p>
    <w:p>
      <w:pPr>
        <w:spacing w:after="80" w:before="60"/>
        <w:jc w:val="both"/>
      </w:pPr>
      <w:r>
        <w:rPr>
          <w:rFonts w:ascii="Arial" w:cs="Arial" w:eastAsia="Arial" w:hAnsi="Arial"/>
          <w:sz w:val="20"/>
          <w:szCs w:val="20"/>
        </w:rPr>
        <w:t xml:space="preserve">Il Welfare Statement è il documento di rendicontazione mensile prodotto da KORA per ciascun cliente azienda, in formato payroll-ready per il consulente del lavoro. Non è un parere fiscale autonomo. Non certifica il trattamento tributario. Riflette la configurazione del programma validata dall'azienda e dai suoi advisor.</w:t>
      </w:r>
    </w:p>
    <w:p>
      <w:pPr>
        <w:pBdr>
          <w:left w:val="single" w:color="2E75B6" w:sz="12"/>
        </w:pBdr>
        <w:spacing w:after="60" w:before="80"/>
        <w:ind w:left="360"/>
      </w:pPr>
      <w:r>
        <w:rPr>
          <w:rFonts w:ascii="Arial" w:cs="Arial" w:eastAsia="Arial" w:hAnsi="Arial"/>
          <w:b/>
          <w:bCs/>
          <w:color w:val="2E75B6"/>
          <w:sz w:val="17"/>
          <w:szCs w:val="17"/>
        </w:rPr>
        <w:t xml:space="preserve">DISCLAIMER OBBLIGATORIO  </w:t>
      </w:r>
      <w:r>
        <w:rPr>
          <w:rFonts w:ascii="Arial" w:cs="Arial" w:eastAsia="Arial" w:hAnsi="Arial"/>
          <w:i/>
          <w:iCs/>
          <w:color w:val="444444"/>
          <w:sz w:val="17"/>
          <w:szCs w:val="17"/>
        </w:rPr>
        <w:t xml:space="preserve">Il Welfare Statement KORA è un documento di supporto alla rendicontazione e alla riconciliazione payroll. Le classificazioni fiscali riflettono la configurazione del programma dichiarata dall'azienda e validata dai propri advisor. KORA non certifica il trattamento fiscale. L'azienda e i propri consulenti restano responsabili della correttezza della qualificazione.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Campo</w:t>
            </w:r>
          </w:p>
        </w:tc>
        <w:tc>
          <w:tcPr>
            <w:tcW w:type="dxa" w:w="2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Fonte</w:t>
            </w:r>
          </w:p>
        </w:tc>
        <w:tc>
          <w:tcPr>
            <w:tcW w:type="dxa" w:w="4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 operative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Identificativo lavoratore (pseudonimizzato)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 pseudonimizzazione su ID payroll</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Non contiene nome/cognome di default. De-pseudonimizzazione dal consulente del lavoro con chiave concordata con l'azienda. Formato validato con DPO.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Periodo di riferimento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Sistema KORA</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Mese/anno di competenza. La competenza segue il servizio fruito, non il pagamento.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fiscal_category</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Config. programma</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Categoria fiscale principale (es. welfare_51tuir, fringe_benefit). Dichiarata dall'azienda, validata da advisor.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fiscal_subcategory</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Config. programma</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Sottocategoria (es. sanita_integrativa, educazione). Aiuta il consulente del lavoro a identificare la natura del benefit.</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funding_source</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Guardrails automatico</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company_funded | co_funded | employee_funded. I co-funded mostrano separazione quote.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budget_owner</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Config. programma</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Identifica il budget aziendale di riferimento (welfare, HR, training, HSE).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Partner</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Database KORA</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Ragione sociale del partner certificato che ha erogato il servizio.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Servizio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Prenotazione + config. partner</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Descrizione del servizio e relativa categoria fiscale.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Data fruizione</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Log sistema</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Data di erogazione effettiva del servizio (non di prenotazione né di payout).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Importo totale servizio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Transazione autorizzata</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Importo lordo. In caso di co-funded: importo totale.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Quota aziendale (FUO)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Guardrails — separazione flussi</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Parte finanziata dall'azienda tramite FUO welfare. Uguale all'importo totale o parziale (co-funded).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Quota lavoratore (personale)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Sub-wallet lavoratore</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Parte finanziata con fondi propri del lavoratore. Separata dalla quota aziendale.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Tipo documento probatorio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Config. partner</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Tipo di documento rilasciato (fattura, attestato, dichiarazione). Riferimento all'allegato in audit trail.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fiscal_validation_status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Config. categoria</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validated | validation_pending | requires_review. Il consulente del lavoro è alertato sui pending.</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guardrail_result</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Guardrails automatico</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Solo approved o approved_with_warning nel Welfare Statement (i blocked non generano entry).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payroll_relevance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Config. + Guardrails</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true/false/conditional. Indica al consulente del lavoro se l'evento impatta il cedolino.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fringe_threshold_contribution</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Guardrails automatico</w:t>
            </w:r>
          </w:p>
        </w:tc>
        <w:tc>
          <w:tcPr>
            <w:tcW w:type="dxa" w:w="4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Importo aggiunto al cumulato fringe benefit annuo del lavoratore. Per monitoraggio soglia.</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Note per il consulente del lavoro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Sistema + flag automatici</w:t>
            </w:r>
          </w:p>
        </w:tc>
        <w:tc>
          <w:tcPr>
            <w:tcW w:type="dxa" w:w="4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Note su warning, payroll relevance, soglie prossime, richieste di review.</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12. Accounting &amp; Fiscal Architecture</w:t>
      </w:r>
    </w:p>
    <w:p>
      <w:pPr>
        <w:spacing w:after="80" w:before="60"/>
        <w:jc w:val="both"/>
      </w:pPr>
      <w:r>
        <w:rPr>
          <w:rFonts w:ascii="Arial" w:cs="Arial" w:eastAsia="Arial" w:hAnsi="Arial"/>
          <w:sz w:val="20"/>
          <w:szCs w:val="20"/>
        </w:rPr>
        <w:t xml:space="preserve">Il piano dei conti KORA deve essere costruito su misura fin dall'origine per evidenziare la separazione strutturale tra ricavi propri e fondi di terzi. Un piano dei conti standard di un commercialista generalista non è adeguato.</w:t>
      </w:r>
    </w:p>
    <w:p>
      <w:pPr>
        <w:spacing w:after="100" w:before="200"/>
      </w:pPr>
      <w:r>
        <w:rPr>
          <w:rFonts w:ascii="Arial" w:cs="Arial" w:eastAsia="Arial" w:hAnsi="Arial"/>
          <w:b/>
          <w:bCs/>
          <w:color w:val="1F3864"/>
          <w:sz w:val="21"/>
          <w:szCs w:val="21"/>
        </w:rPr>
        <w:t xml:space="preserve">12.1 Ricavi propri KORA — Classe 70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800"/>
        <w:gridCol w:w="4300"/>
      </w:tblGrid>
      <w:tr>
        <w:tc>
          <w:tcPr>
            <w:tcW w:type="dxa" w:w="1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Conto</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Nome</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Natura</w:t>
            </w:r>
          </w:p>
        </w:tc>
        <w:tc>
          <w:tcPr>
            <w:tcW w:type="dxa" w:w="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→CE?</w:t>
            </w:r>
          </w:p>
        </w:tc>
        <w:tc>
          <w:tcPr>
            <w:tcW w:type="dxa" w:w="4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70.01.x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Subscription SaaS B2B — tier Access/Foundation/Governance/Certified</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Ricorrente</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ARR-grade. Riconoscimento pro-rata mensile (OIC 19 / IFRS 15).</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70.02.x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Annual partner fee / partner onboarding / validation fee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Ricorrente / una tantum</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Annual = ricorrente ARR. Onboarding/validation = una tantum al completamento.</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70.03.x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Subscription B2C lavoratori — Premium Personal</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Ricorrente B2C</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Regime OSS per lavoratori UE. Trattamento corrispettivi telematici per B2C IT.</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70.04.x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Setup &amp; onboarding fee aziende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Una tantum</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Riconoscimento: a completamento o pro-rata su contratto pluriennale. Da validare con commercialista.</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70.05.x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Management fee orchestration — flat / variable</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Ricorrente / variabile</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Flat = pro-rata mensile. Variabile = per transazione autorizzata. Non su transato FUO.</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70.06.x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Centralization fee SVAM</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Ricorrente mensile</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Fee specifica per il ruolo di centralizzatore nel SVAM. Separata dalla management fee.</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70.07.x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Reporting fee / certified reporting / audit support</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Una tantum / per report</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Alto ticket per clienti Certified. Riconoscimento all'erogazione del report.</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70.08.x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Advisor certification / annual renewal / training academy</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Misto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Certification = al completamento. Annual = pro-rata. Training = per erogazione.</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70.09.x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Service fee top-up B2C lavoratori</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Per transazione</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IVA 22% inclusa. Riconoscimento alla transazione top-up completata.</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70.10.x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KIP reporting fee / territorial / project verification</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Una tantum / per report</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Il flusso KIP non transita da KORA; la fee di reporting è ricavo proprio.</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70.11.x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Integration fee HRIS/LMS/provider</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Una tantum + manutenzione</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4"/>
                <w:szCs w:val="14"/>
              </w:rPr>
              <w:t xml:space="preserve">→CE</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Fee per connettori a sistemi terzi del cliente.</w:t>
            </w:r>
          </w:p>
        </w:tc>
      </w:tr>
    </w:tbl>
    <w:p>
      <w:pPr>
        <w:spacing w:after="100" w:before="200"/>
      </w:pPr>
      <w:r>
        <w:rPr>
          <w:rFonts w:ascii="Arial" w:cs="Arial" w:eastAsia="Arial" w:hAnsi="Arial"/>
          <w:b/>
          <w:bCs/>
          <w:color w:val="1F3864"/>
          <w:sz w:val="21"/>
          <w:szCs w:val="21"/>
        </w:rPr>
        <w:t xml:space="preserve">12.2 Conti d'ordine / FUO — Classe 90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800"/>
        <w:gridCol w:w="4300"/>
      </w:tblGrid>
      <w:tr>
        <w:tc>
          <w:tcPr>
            <w:tcW w:type="dxa" w:w="1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Conto</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Nome</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Natura</w:t>
            </w:r>
          </w:p>
        </w:tc>
        <w:tc>
          <w:tcPr>
            <w:tcW w:type="dxa" w:w="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→CE?</w:t>
            </w:r>
          </w:p>
        </w:tc>
        <w:tc>
          <w:tcPr>
            <w:tcW w:type="dxa" w:w="4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90.01.x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FUO company-funded — welfare 51 TUIR (per cliente)</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Partita di giro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Custodito presso istituto di pagamento. Riconciliazione mensile con estratto conto PI.</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90.02.x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FUO company-funded — fringe benefit (per cliente)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Partita di giro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Separato dal welfare puro per il monitoraggio soglia annua.</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90.03.x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FUO company-funded — HR/training/HSE (se orchestrati)</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Partita di giro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Solo se il cliente configura KORA per l'orchestrazione di budget non-welfare.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90.04.x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FUO co-funded — quota aziendale (per cliente)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Partita di giro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Separato dalla quota worker. Rendicontazione duale nel Welfare Statement.</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90.05.x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FUO worker-funded — sub-wallet personale (per lavoratore)</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Partita di giro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Separato dai FUO aziendali. Non è welfare aziendale.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90.06.x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Partner Payouts dispositi (per partner)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Passivo conti d'ordine</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Lato passivo dei FUO. Per ogni euro di FUO entrato: un euro (o meno commissioni PI) esce come payout.</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90.07.x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Riaddebiti / rendicontazione SVAM verso azienda</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Tecnico / transito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Conto di transito per i documenti di regolazione verso il cliente nel modello SVAM. Struttura da validare.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90.08.x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Documenti ricevuti da partner in SVAM (variante A/B)</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Tecnico / transito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Conto di transito per le fatture/note dei partner verso KORA come centralizzatore. Non è costo KORA.</w:t>
            </w:r>
          </w:p>
        </w:tc>
      </w:tr>
      <w:tr>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90.09.x</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KIP commitment tracking</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Solo tracking</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4"/>
                <w:szCs w:val="14"/>
              </w:rPr>
              <w:t xml:space="preserve">NO</w:t>
            </w:r>
          </w:p>
        </w:tc>
        <w:tc>
          <w:tcPr>
            <w:tcW w:type="dxa" w:w="4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 KIP è solo rendicontato da KORA, nessun flusso economico. Eventuale nota in nota integrativa.</w:t>
            </w:r>
          </w:p>
        </w:tc>
      </w:tr>
    </w:tbl>
    <w:p>
      <w:pPr>
        <w:spacing w:after="100" w:before="200"/>
      </w:pPr>
      <w:r>
        <w:rPr>
          <w:rFonts w:ascii="Arial" w:cs="Arial" w:eastAsia="Arial" w:hAnsi="Arial"/>
          <w:b/>
          <w:bCs/>
          <w:color w:val="1F3864"/>
          <w:sz w:val="21"/>
          <w:szCs w:val="21"/>
        </w:rPr>
        <w:t xml:space="preserve">12.3 Costi propri KORA — Classi 60–68</w:t>
      </w:r>
    </w:p>
    <w:p>
      <w:pPr>
        <w:spacing w:after="80" w:before="60"/>
        <w:jc w:val="both"/>
      </w:pPr>
      <w:r>
        <w:rPr>
          <w:rFonts w:ascii="Arial" w:cs="Arial" w:eastAsia="Arial" w:hAnsi="Arial"/>
          <w:sz w:val="20"/>
          <w:szCs w:val="20"/>
        </w:rPr>
        <w:t xml:space="preserve">I costi propri di KORA sono i costi operativi della società, inclusi i costi per i servizi dell'istituto di pagamento partner (che sono costi KORA, non del cliente, anche se variabili in funzione del transato orchestrato).</w:t>
      </w:r>
    </w:p>
    <w:p>
      <w:pPr>
        <w:pStyle w:val="ListParagraph"/>
        <w:numPr>
          <w:ilvl w:val="0"/>
          <w:numId w:val="2"/>
        </w:numPr>
        <w:spacing w:after="30" w:before="30"/>
      </w:pPr>
      <w:r>
        <w:rPr>
          <w:rFonts w:ascii="Arial" w:cs="Arial" w:eastAsia="Arial" w:hAnsi="Arial"/>
          <w:sz w:val="19"/>
          <w:szCs w:val="19"/>
        </w:rPr>
        <w:t xml:space="preserve">Cloud / infrastruttura software</w:t>
      </w:r>
    </w:p>
    <w:p>
      <w:pPr>
        <w:pStyle w:val="ListParagraph"/>
        <w:numPr>
          <w:ilvl w:val="0"/>
          <w:numId w:val="2"/>
        </w:numPr>
        <w:spacing w:after="30" w:before="30"/>
      </w:pPr>
      <w:r>
        <w:rPr>
          <w:rFonts w:ascii="Arial" w:cs="Arial" w:eastAsia="Arial" w:hAnsi="Arial"/>
          <w:sz w:val="19"/>
          <w:szCs w:val="19"/>
        </w:rPr>
        <w:t xml:space="preserve">Costi istituto di pagamento partner (canone fisso + commissioni variabili sul transato)</w:t>
      </w:r>
    </w:p>
    <w:p>
      <w:pPr>
        <w:pStyle w:val="ListParagraph"/>
        <w:numPr>
          <w:ilvl w:val="0"/>
          <w:numId w:val="2"/>
        </w:numPr>
        <w:spacing w:after="30" w:before="30"/>
      </w:pPr>
      <w:r>
        <w:rPr>
          <w:rFonts w:ascii="Arial" w:cs="Arial" w:eastAsia="Arial" w:hAnsi="Arial"/>
          <w:sz w:val="19"/>
          <w:szCs w:val="19"/>
        </w:rPr>
        <w:t xml:space="preserve">Stripe per le KORA Fees (commissioni transazionali)</w:t>
      </w:r>
    </w:p>
    <w:p>
      <w:pPr>
        <w:pStyle w:val="ListParagraph"/>
        <w:numPr>
          <w:ilvl w:val="0"/>
          <w:numId w:val="2"/>
        </w:numPr>
        <w:spacing w:after="30" w:before="30"/>
      </w:pPr>
      <w:r>
        <w:rPr>
          <w:rFonts w:ascii="Arial" w:cs="Arial" w:eastAsia="Arial" w:hAnsi="Arial"/>
          <w:sz w:val="19"/>
          <w:szCs w:val="19"/>
        </w:rPr>
        <w:t xml:space="preserve">Advisor network compensation (certificazione partner, retainer, revenue share)</w:t>
      </w:r>
    </w:p>
    <w:p>
      <w:pPr>
        <w:pStyle w:val="ListParagraph"/>
        <w:numPr>
          <w:ilvl w:val="0"/>
          <w:numId w:val="2"/>
        </w:numPr>
        <w:spacing w:after="30" w:before="30"/>
      </w:pPr>
      <w:r>
        <w:rPr>
          <w:rFonts w:ascii="Arial" w:cs="Arial" w:eastAsia="Arial" w:hAnsi="Arial"/>
          <w:sz w:val="19"/>
          <w:szCs w:val="19"/>
        </w:rPr>
        <w:t xml:space="preserve">Customer success e operations</w:t>
      </w:r>
    </w:p>
    <w:p>
      <w:pPr>
        <w:pStyle w:val="ListParagraph"/>
        <w:numPr>
          <w:ilvl w:val="0"/>
          <w:numId w:val="2"/>
        </w:numPr>
        <w:spacing w:after="30" w:before="30"/>
      </w:pPr>
      <w:r>
        <w:rPr>
          <w:rFonts w:ascii="Arial" w:cs="Arial" w:eastAsia="Arial" w:hAnsi="Arial"/>
          <w:sz w:val="19"/>
          <w:szCs w:val="19"/>
        </w:rPr>
        <w:t xml:space="preserve">Compliance / legal / commercialista / DPO</w:t>
      </w:r>
    </w:p>
    <w:p>
      <w:pPr>
        <w:pStyle w:val="ListParagraph"/>
        <w:numPr>
          <w:ilvl w:val="0"/>
          <w:numId w:val="2"/>
        </w:numPr>
        <w:spacing w:after="30" w:before="30"/>
      </w:pPr>
      <w:r>
        <w:rPr>
          <w:rFonts w:ascii="Arial" w:cs="Arial" w:eastAsia="Arial" w:hAnsi="Arial"/>
          <w:sz w:val="19"/>
          <w:szCs w:val="19"/>
        </w:rPr>
        <w:t xml:space="preserve">Assicurazioni (RC professionale, cyber, D&amp;O)</w:t>
      </w:r>
    </w:p>
    <w:p>
      <w:pPr>
        <w:pStyle w:val="ListParagraph"/>
        <w:numPr>
          <w:ilvl w:val="0"/>
          <w:numId w:val="2"/>
        </w:numPr>
        <w:spacing w:after="30" w:before="30"/>
      </w:pPr>
      <w:r>
        <w:rPr>
          <w:rFonts w:ascii="Arial" w:cs="Arial" w:eastAsia="Arial" w:hAnsi="Arial"/>
          <w:sz w:val="19"/>
          <w:szCs w:val="19"/>
        </w:rPr>
        <w:t xml:space="preserve">Sviluppo prodotto / CTO / engineering</w:t>
      </w:r>
    </w:p>
    <w:p>
      <w:pPr>
        <w:pStyle w:val="ListParagraph"/>
        <w:numPr>
          <w:ilvl w:val="0"/>
          <w:numId w:val="2"/>
        </w:numPr>
        <w:spacing w:after="30" w:before="30"/>
      </w:pPr>
      <w:r>
        <w:rPr>
          <w:rFonts w:ascii="Arial" w:cs="Arial" w:eastAsia="Arial" w:hAnsi="Arial"/>
          <w:sz w:val="19"/>
          <w:szCs w:val="19"/>
        </w:rPr>
        <w:t xml:space="preserve">Sales &amp; marketing</w:t>
      </w:r>
    </w:p>
    <w:p>
      <w:pPr>
        <w:pStyle w:val="ListParagraph"/>
        <w:numPr>
          <w:ilvl w:val="0"/>
          <w:numId w:val="2"/>
        </w:numPr>
        <w:spacing w:after="30" w:before="30"/>
      </w:pPr>
      <w:r>
        <w:rPr>
          <w:rFonts w:ascii="Arial" w:cs="Arial" w:eastAsia="Arial" w:hAnsi="Arial"/>
          <w:sz w:val="19"/>
          <w:szCs w:val="19"/>
        </w:rPr>
        <w:t xml:space="preserve">Audit e validazioni professionali</w:t>
      </w:r>
    </w:p>
    <w:p>
      <w:pPr>
        <w:pStyle w:val="ListParagraph"/>
        <w:numPr>
          <w:ilvl w:val="0"/>
          <w:numId w:val="2"/>
        </w:numPr>
        <w:spacing w:after="30" w:before="30"/>
      </w:pPr>
      <w:r>
        <w:rPr>
          <w:rFonts w:ascii="Arial" w:cs="Arial" w:eastAsia="Arial" w:hAnsi="Arial"/>
          <w:sz w:val="19"/>
          <w:szCs w:val="19"/>
        </w:rPr>
        <w:t xml:space="preserve">Partner validation operations (KYC/AML supporto)</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13. Unit Economics</w:t>
      </w:r>
    </w:p>
    <w:p>
      <w:pPr>
        <w:spacing w:after="80" w:before="60"/>
        <w:jc w:val="both"/>
      </w:pPr>
      <w:r>
        <w:rPr>
          <w:rFonts w:ascii="Arial" w:cs="Arial" w:eastAsia="Arial" w:hAnsi="Arial"/>
          <w:sz w:val="20"/>
          <w:szCs w:val="20"/>
        </w:rPr>
        <w:t xml:space="preserve">Le metriche di unit economics si calcolano sui ricavi propri KORA (KORA Fees), mai sui FUO. Le seguenti ipotesi sono working assumption conservative per la fase early-stage; devono essere riviste trimestralmente con l'evoluzione operativa.</w:t>
      </w:r>
    </w:p>
    <w:p>
      <w:pPr>
        <w:spacing w:after="100" w:before="200"/>
      </w:pPr>
      <w:r>
        <w:rPr>
          <w:rFonts w:ascii="Arial" w:cs="Arial" w:eastAsia="Arial" w:hAnsi="Arial"/>
          <w:b/>
          <w:bCs/>
          <w:color w:val="1F3864"/>
          <w:sz w:val="21"/>
          <w:szCs w:val="21"/>
        </w:rPr>
        <w:t xml:space="preserve">13.1 Per cliente B2B — example numerico (cliente Foundation a regime)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300"/>
      </w:tblGrid>
      <w:tr>
        <w:tc>
          <w:tcPr>
            <w:tcW w:type="dxa" w:w="3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Voce</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Conservative</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Base</w:t>
            </w:r>
          </w:p>
        </w:tc>
        <w:tc>
          <w:tcPr>
            <w:tcW w:type="dxa" w:w="2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Upside</w:t>
            </w:r>
          </w:p>
        </w:tc>
      </w:tr>
      <w:tr>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Subscription annual (Foundation tier)</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€ 9.600</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€ 12.000</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€ 16.800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Management fee orchestration (flat 12 mesi)</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€ 6.000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€ 9.600</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€ 14.400</w:t>
            </w:r>
          </w:p>
        </w:tc>
      </w:tr>
      <w:tr>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Centralization fee SVAM (se attivo)</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€ 2.400</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€ 3.600</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€ 6.000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Setup fee (una tantum, anno 1)</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€ 2.500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€ 3.500</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€ 5.000</w:t>
            </w:r>
          </w:p>
        </w:tc>
      </w:tr>
      <w:tr>
        <w:tc>
          <w:tcPr>
            <w:tcW w:type="dxa" w:w="32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TOTALE REVENUE da questo cliente (anno)</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€ 20.500</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€ 28.700</w:t>
            </w:r>
          </w:p>
        </w:tc>
        <w:tc>
          <w:tcPr>
            <w:tcW w:type="dxa" w:w="23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€ 42.200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 —</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w:r>
          </w:p>
        </w:tc>
      </w:tr>
      <w:tr>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Customer success cost (pro-rata)</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€ 2.000</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€ 2.500</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€ 3.000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PI fees imputabili (canone + variabile)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€ 1.200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€ 1.800</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€ 2.500</w:t>
            </w:r>
          </w:p>
        </w:tc>
      </w:tr>
      <w:tr>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Support &amp; operations</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€ 800</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€ 1.000</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€ 1.500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COGS per cliente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€ 4.000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€ 5.300</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€ 7.000</w:t>
            </w:r>
          </w:p>
        </w:tc>
      </w:tr>
      <w:tr>
        <w:tc>
          <w:tcPr>
            <w:tcW w:type="dxa" w:w="32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GROSS MARGIN per cliente</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€ 16.500 (80%)</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€ 23.400 (82%)</w:t>
            </w:r>
          </w:p>
        </w:tc>
        <w:tc>
          <w:tcPr>
            <w:tcW w:type="dxa" w:w="23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€ 35.200 (83%)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 —</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
            </w:r>
          </w:p>
        </w:tc>
      </w:tr>
      <w:tr>
        <w:tc>
          <w:tcPr>
            <w:tcW w:type="dxa" w:w="3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FUO orchestrato per questo cliente (non revenue)</w:t>
            </w:r>
          </w:p>
        </w:tc>
        <w:tc>
          <w:tcPr>
            <w:tcW w:type="dxa" w:w="20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€ 150.000</w:t>
            </w:r>
          </w:p>
        </w:tc>
        <w:tc>
          <w:tcPr>
            <w:tcW w:type="dxa" w:w="20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€ 280.000</w:t>
            </w:r>
          </w:p>
        </w:tc>
        <w:tc>
          <w:tcPr>
            <w:tcW w:type="dxa" w:w="23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€ 450.000</w:t>
            </w:r>
          </w:p>
        </w:tc>
      </w:tr>
    </w:tbl>
    <w:p>
      <w:pPr>
        <w:spacing w:after="60" w:before="60"/>
        <w:jc w:val="both"/>
      </w:pPr>
      <w:r>
        <w:rPr>
          <w:rFonts w:ascii="Arial" w:cs="Arial" w:eastAsia="Arial" w:hAnsi="Arial"/>
          <w:sz w:val="20"/>
          <w:szCs w:val="20"/>
        </w:rPr>
        <w:t xml:space="preserve"/>
      </w:r>
    </w:p>
    <w:p>
      <w:pPr>
        <w:spacing w:after="100" w:before="200"/>
      </w:pPr>
      <w:r>
        <w:rPr>
          <w:rFonts w:ascii="Arial" w:cs="Arial" w:eastAsia="Arial" w:hAnsi="Arial"/>
          <w:b/>
          <w:bCs/>
          <w:color w:val="1F3864"/>
          <w:sz w:val="21"/>
          <w:szCs w:val="21"/>
        </w:rPr>
        <w:t xml:space="preserve">13.2 Per partner — example numerico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300"/>
      </w:tblGrid>
      <w:tr>
        <w:tc>
          <w:tcPr>
            <w:tcW w:type="dxa" w:w="3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Voce</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Conservative</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Base</w:t>
            </w:r>
          </w:p>
        </w:tc>
        <w:tc>
          <w:tcPr>
            <w:tcW w:type="dxa" w:w="2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Upside</w:t>
            </w:r>
          </w:p>
        </w:tc>
      </w:tr>
      <w:tr>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Partner onboarding fee (una tantum)</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€ 350</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€ 550</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€ 800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Annual partner fee (ricorrente)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€ 500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€ 800</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€ 1.200</w:t>
            </w:r>
          </w:p>
        </w:tc>
      </w:tr>
      <w:tr>
        <w:tc>
          <w:tcPr>
            <w:tcW w:type="dxa" w:w="32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TOTALE REVENUE da questo partner (anno 1)</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€ 850</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€ 1.350</w:t>
            </w:r>
          </w:p>
        </w:tc>
        <w:tc>
          <w:tcPr>
            <w:tcW w:type="dxa" w:w="23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€ 2.000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KYC/AML cost (imputato KORA)</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€ 150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€ 150</w:t>
            </w:r>
          </w:p>
        </w:tc>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€ 200</w:t>
            </w:r>
          </w:p>
        </w:tc>
      </w:tr>
      <w:tr>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5"/>
                <w:szCs w:val="15"/>
              </w:rPr>
              <w:t xml:space="preserve">Validation operations</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€ 100</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€ 150</w:t>
            </w:r>
          </w:p>
        </w:tc>
        <w:tc>
          <w:tcPr>
            <w:tcW w:type="dxa" w:w="2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€ 200</w:t>
            </w:r>
          </w:p>
        </w:tc>
      </w:tr>
      <w:tr>
        <w:tc>
          <w:tcPr>
            <w:tcW w:type="dxa" w:w="32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000000"/>
                <w:sz w:val="15"/>
                <w:szCs w:val="15"/>
              </w:rPr>
              <w:t xml:space="preserve">GROSS MARGIN per partner</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€ 600 (71%)</w:t>
            </w:r>
          </w:p>
        </w:tc>
        <w:tc>
          <w:tcPr>
            <w:tcW w:type="dxa" w:w="20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€ 1.050 (78%)</w:t>
            </w:r>
          </w:p>
        </w:tc>
        <w:tc>
          <w:tcPr>
            <w:tcW w:type="dxa" w:w="23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color w:val="000000"/>
                <w:sz w:val="15"/>
                <w:szCs w:val="15"/>
              </w:rPr>
              <w:t xml:space="preserve">€ 1.600 (80%)</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14. Pricing Architecture</w:t>
      </w:r>
    </w:p>
    <w:p>
      <w:pPr>
        <w:spacing w:after="80" w:before="60"/>
        <w:jc w:val="both"/>
      </w:pPr>
      <w:r>
        <w:rPr>
          <w:rFonts w:ascii="Arial" w:cs="Arial" w:eastAsia="Arial" w:hAnsi="Arial"/>
          <w:sz w:val="20"/>
          <w:szCs w:val="20"/>
        </w:rPr>
        <w:t xml:space="preserve">La struttura pricing è articolata in quattro tier per i clienti azienda. I prezzi indicati sono range orientativi soggetti a validazione di mercato; non sono definitivi. La fee di orchestration e la centralization fee SVAM sono scorporate dalla subscription per evidenziare il valore del ruolo di program operator.</w:t>
      </w:r>
    </w:p>
    <w:p>
      <w:pPr>
        <w:pBdr>
          <w:left w:val="single" w:color="2E75B6" w:sz="12"/>
        </w:pBdr>
        <w:spacing w:after="60" w:before="80"/>
        <w:ind w:left="360"/>
      </w:pPr>
      <w:r>
        <w:rPr>
          <w:rFonts w:ascii="Arial" w:cs="Arial" w:eastAsia="Arial" w:hAnsi="Arial"/>
          <w:b/>
          <w:bCs/>
          <w:color w:val="2E75B6"/>
          <w:sz w:val="17"/>
          <w:szCs w:val="17"/>
        </w:rPr>
        <w:t xml:space="preserve">VALIDATION REQUIRED  </w:t>
      </w:r>
      <w:r>
        <w:rPr>
          <w:rFonts w:ascii="Arial" w:cs="Arial" w:eastAsia="Arial" w:hAnsi="Arial"/>
          <w:i/>
          <w:iCs/>
          <w:color w:val="444444"/>
          <w:sz w:val="17"/>
          <w:szCs w:val="17"/>
        </w:rPr>
        <w:t xml:space="preserve">I prezzi qui indicati sono ipotesi di lavoro. Devono essere validati attraverso conversazioni con clienti pilot e benchmarking di mercato prima della pubblicazione nei materiali commerciali.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900"/>
      </w:tblGrid>
      <w:tr>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Elemento</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Access</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Foundation</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Governance</w:t>
            </w:r>
          </w:p>
        </w:tc>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Certified</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Cosa include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Governance light + reporting base + KORA Index semplificato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KORA Index completo + Guardrails standard + 1 Welfare Statement/mese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Full orchestration + SVAM + Guardrails avanzati + reporting mensile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Audit trail avanzato + certified reporting ESRS S1-ready + audit support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Setup fee (una tantum)</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€ 1.500–2.500</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€ 3.000–4.500</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€ 5.000–8.000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€ 8.000–12.000</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Subscription annuale (per dipendente/mese)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€ 4–7 / dip / mese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€ 7–11 / dip / mese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€ 12–18 / dip / mese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€ 18–28 / dip / mese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Subscription annuale (flat, se &lt;100 dip)</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€ 5.000–8.000 / anno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€ 9.000–14.000 / anno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€ 18.000–28.000 / anno</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€ 28.000–45.000 / anno</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Management fee orchestration (flat mensile)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€ 400–700 / mese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€ 800–1.400 / mese</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€ 1.500–2.500 / mese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Centralization fee SVAM</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€ 200–600 / mese</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€ 400–900 / mese</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Partner network access</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Catalogo base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Catalogo completo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Catalogo completo + priorità</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Catalogo + partner dedicati</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 Guardrails level</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Standard (6 controlli)</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Avanzato (10 controlli)</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Full (12 controlli)</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Full + custom + review periodica</w:t>
            </w:r>
          </w:p>
        </w:tc>
      </w:tr>
      <w:tr>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Welfare Statement</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Trimestrale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(payroll-ready)</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 alert automatici</w:t>
            </w:r>
          </w:p>
        </w:tc>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Mensile + audit support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Reporting level</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KORA Index base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KORA Index completo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ESRS S1-ready draft</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6"/>
                <w:szCs w:val="16"/>
              </w:rPr>
              <w:t xml:space="preserve">ESRS S1 certified + audit trail</w:t>
            </w:r>
          </w:p>
        </w:tc>
      </w:tr>
    </w:tbl>
    <w:p>
      <w:pPr>
        <w:spacing w:after="100" w:before="200"/>
      </w:pPr>
      <w:r>
        <w:rPr>
          <w:rFonts w:ascii="Arial" w:cs="Arial" w:eastAsia="Arial" w:hAnsi="Arial"/>
          <w:b/>
          <w:bCs/>
          <w:color w:val="1F3864"/>
          <w:sz w:val="21"/>
          <w:szCs w:val="21"/>
        </w:rPr>
        <w:t xml:space="preserve">14.2 Partner &amp; advisor pricing</w:t>
      </w:r>
    </w:p>
    <w:p>
      <w:pPr>
        <w:pStyle w:val="ListParagraph"/>
        <w:numPr>
          <w:ilvl w:val="0"/>
          <w:numId w:val="2"/>
        </w:numPr>
        <w:spacing w:after="30" w:before="30"/>
      </w:pPr>
      <w:r>
        <w:rPr>
          <w:rFonts w:ascii="Arial" w:cs="Arial" w:eastAsia="Arial" w:hAnsi="Arial"/>
          <w:sz w:val="19"/>
          <w:szCs w:val="19"/>
        </w:rPr>
        <w:t xml:space="preserve">Partner onboarding fee: € 300–800 (una tantum, incluso il processo di validazione)</w:t>
      </w:r>
    </w:p>
    <w:p>
      <w:pPr>
        <w:pStyle w:val="ListParagraph"/>
        <w:numPr>
          <w:ilvl w:val="0"/>
          <w:numId w:val="2"/>
        </w:numPr>
        <w:spacing w:after="30" w:before="30"/>
      </w:pPr>
      <w:r>
        <w:rPr>
          <w:rFonts w:ascii="Arial" w:cs="Arial" w:eastAsia="Arial" w:hAnsi="Arial"/>
          <w:sz w:val="19"/>
          <w:szCs w:val="19"/>
        </w:rPr>
        <w:t xml:space="preserve">Partner annual fee: € 400–1.200 / anno (mantenimento nel network + aggiornamento categorie)</w:t>
      </w:r>
    </w:p>
    <w:p>
      <w:pPr>
        <w:pStyle w:val="ListParagraph"/>
        <w:numPr>
          <w:ilvl w:val="0"/>
          <w:numId w:val="2"/>
        </w:numPr>
        <w:spacing w:after="30" w:before="30"/>
      </w:pPr>
      <w:r>
        <w:rPr>
          <w:rFonts w:ascii="Arial" w:cs="Arial" w:eastAsia="Arial" w:hAnsi="Arial"/>
          <w:sz w:val="19"/>
          <w:szCs w:val="19"/>
        </w:rPr>
        <w:t xml:space="preserve">Partner re-validation fee: € 200–600 (ogni 2–3 anni)</w:t>
      </w:r>
    </w:p>
    <w:p>
      <w:pPr>
        <w:pStyle w:val="ListParagraph"/>
        <w:numPr>
          <w:ilvl w:val="0"/>
          <w:numId w:val="2"/>
        </w:numPr>
        <w:spacing w:after="30" w:before="30"/>
      </w:pPr>
      <w:r>
        <w:rPr>
          <w:rFonts w:ascii="Arial" w:cs="Arial" w:eastAsia="Arial" w:hAnsi="Arial"/>
          <w:sz w:val="19"/>
          <w:szCs w:val="19"/>
        </w:rPr>
        <w:t xml:space="preserve">Advisor certification: € 500–2.000 (una tantum)</w:t>
      </w:r>
    </w:p>
    <w:p>
      <w:pPr>
        <w:pStyle w:val="ListParagraph"/>
        <w:numPr>
          <w:ilvl w:val="0"/>
          <w:numId w:val="2"/>
        </w:numPr>
        <w:spacing w:after="30" w:before="30"/>
      </w:pPr>
      <w:r>
        <w:rPr>
          <w:rFonts w:ascii="Arial" w:cs="Arial" w:eastAsia="Arial" w:hAnsi="Arial"/>
          <w:sz w:val="19"/>
          <w:szCs w:val="19"/>
        </w:rPr>
        <w:t xml:space="preserve">Advisor annual renewal: € 200–500</w:t>
      </w:r>
    </w:p>
    <w:p>
      <w:pPr>
        <w:pStyle w:val="ListParagraph"/>
        <w:numPr>
          <w:ilvl w:val="0"/>
          <w:numId w:val="2"/>
        </w:numPr>
        <w:spacing w:after="30" w:before="30"/>
      </w:pPr>
      <w:r>
        <w:rPr>
          <w:rFonts w:ascii="Arial" w:cs="Arial" w:eastAsia="Arial" w:hAnsi="Arial"/>
          <w:sz w:val="19"/>
          <w:szCs w:val="19"/>
        </w:rPr>
        <w:t xml:space="preserve">Service fee top-up B2C: 1,5–3,5% dell'importo del top-up</w:t>
      </w:r>
    </w:p>
    <w:p>
      <w:pPr>
        <w:pStyle w:val="ListParagraph"/>
        <w:numPr>
          <w:ilvl w:val="0"/>
          <w:numId w:val="2"/>
        </w:numPr>
        <w:spacing w:after="30" w:before="30"/>
      </w:pPr>
      <w:r>
        <w:rPr>
          <w:rFonts w:ascii="Arial" w:cs="Arial" w:eastAsia="Arial" w:hAnsi="Arial"/>
          <w:sz w:val="19"/>
          <w:szCs w:val="19"/>
        </w:rPr>
        <w:t xml:space="preserve">KIP reporting fee: € 1.500–5.000 / anno (solo tracking e rendicontazione; il flusso KIP è fuori KORA)</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15. Scenario Finanziario — 3 anni, 3 scenari</w:t>
      </w:r>
    </w:p>
    <w:p>
      <w:pPr>
        <w:spacing w:after="80" w:before="60"/>
        <w:jc w:val="both"/>
      </w:pPr>
      <w:r>
        <w:rPr>
          <w:rFonts w:ascii="Arial" w:cs="Arial" w:eastAsia="Arial" w:hAnsi="Arial"/>
          <w:sz w:val="20"/>
          <w:szCs w:val="20"/>
        </w:rPr>
        <w:t xml:space="preserve">Le seguenti proiezioni sono ipotesi di lavoro conservative basate su assunzioni esplicite. Non sono forecast certificati. Devono essere aggiornate trimestralmente alla luce dei dati operativi reali. La separazione tra Revenue KORA e FUO orchestrati è rigorosa in tutto il modello.</w:t>
      </w:r>
    </w:p>
    <w:p>
      <w:pPr>
        <w:spacing w:after="100" w:before="200"/>
      </w:pPr>
      <w:r>
        <w:rPr>
          <w:rFonts w:ascii="Arial" w:cs="Arial" w:eastAsia="Arial" w:hAnsi="Arial"/>
          <w:b/>
          <w:bCs/>
          <w:color w:val="1F3864"/>
          <w:sz w:val="21"/>
          <w:szCs w:val="21"/>
        </w:rPr>
        <w:t xml:space="preserve">Ipotesi base del modello</w:t>
      </w:r>
    </w:p>
    <w:p>
      <w:pPr>
        <w:pStyle w:val="ListParagraph"/>
        <w:numPr>
          <w:ilvl w:val="0"/>
          <w:numId w:val="2"/>
        </w:numPr>
        <w:spacing w:after="30" w:before="30"/>
      </w:pPr>
      <w:r>
        <w:rPr>
          <w:rFonts w:ascii="Arial" w:cs="Arial" w:eastAsia="Arial" w:hAnsi="Arial"/>
          <w:sz w:val="19"/>
          <w:szCs w:val="19"/>
        </w:rPr>
        <w:t xml:space="preserve">ARPA = Average Revenue Per Account annuo (subscription + fee orchestration + fee SVAM). Non include FUO.</w:t>
      </w:r>
    </w:p>
    <w:p>
      <w:pPr>
        <w:pStyle w:val="ListParagraph"/>
        <w:numPr>
          <w:ilvl w:val="0"/>
          <w:numId w:val="2"/>
        </w:numPr>
        <w:spacing w:after="30" w:before="30"/>
      </w:pPr>
      <w:r>
        <w:rPr>
          <w:rFonts w:ascii="Arial" w:cs="Arial" w:eastAsia="Arial" w:hAnsi="Arial"/>
          <w:sz w:val="19"/>
          <w:szCs w:val="19"/>
        </w:rPr>
        <w:t xml:space="preserve">Ramping: i nuovi clienti entrano a metà anno in media (50% contributo nell'anno di firma).</w:t>
      </w:r>
    </w:p>
    <w:p>
      <w:pPr>
        <w:pStyle w:val="ListParagraph"/>
        <w:numPr>
          <w:ilvl w:val="0"/>
          <w:numId w:val="2"/>
        </w:numPr>
        <w:spacing w:after="30" w:before="30"/>
      </w:pPr>
      <w:r>
        <w:rPr>
          <w:rFonts w:ascii="Arial" w:cs="Arial" w:eastAsia="Arial" w:hAnsi="Arial"/>
          <w:sz w:val="19"/>
          <w:szCs w:val="19"/>
        </w:rPr>
        <w:t xml:space="preserve">Partner: onboarding fee + annual fee. Media 15 partner per cliente a regime.</w:t>
      </w:r>
    </w:p>
    <w:p>
      <w:pPr>
        <w:pStyle w:val="ListParagraph"/>
        <w:numPr>
          <w:ilvl w:val="0"/>
          <w:numId w:val="2"/>
        </w:numPr>
        <w:spacing w:after="30" w:before="30"/>
      </w:pPr>
      <w:r>
        <w:rPr>
          <w:rFonts w:ascii="Arial" w:cs="Arial" w:eastAsia="Arial" w:hAnsi="Arial"/>
          <w:sz w:val="19"/>
          <w:szCs w:val="19"/>
        </w:rPr>
        <w:t xml:space="preserve">FUO per cliente: da 2× a 8× l'ARPA, a seconda del perimetro welfare configurato.</w:t>
      </w:r>
    </w:p>
    <w:p>
      <w:pPr>
        <w:pStyle w:val="ListParagraph"/>
        <w:numPr>
          <w:ilvl w:val="0"/>
          <w:numId w:val="2"/>
        </w:numPr>
        <w:spacing w:after="30" w:before="30"/>
      </w:pPr>
      <w:r>
        <w:rPr>
          <w:rFonts w:ascii="Arial" w:cs="Arial" w:eastAsia="Arial" w:hAnsi="Arial"/>
          <w:sz w:val="19"/>
          <w:szCs w:val="19"/>
        </w:rPr>
        <w:t xml:space="preserve">Costi: crescono più lentamente del revenue nei primi 3 anni (leveraggio operativo progressivo).</w:t>
      </w:r>
    </w:p>
    <w:p>
      <w:pPr>
        <w:pStyle w:val="ListParagraph"/>
        <w:numPr>
          <w:ilvl w:val="0"/>
          <w:numId w:val="2"/>
        </w:numPr>
        <w:spacing w:after="30" w:before="30"/>
      </w:pPr>
      <w:r>
        <w:rPr>
          <w:rFonts w:ascii="Arial" w:cs="Arial" w:eastAsia="Arial" w:hAnsi="Arial"/>
          <w:sz w:val="19"/>
          <w:szCs w:val="19"/>
        </w:rPr>
        <w:t xml:space="preserve">Cash burn: negativo anno 1 e 2 nello scenario conservative; positivo in scenario base da anno 2.</w:t>
      </w:r>
    </w:p>
    <w:p>
      <w:pPr>
        <w:spacing w:after="60" w:before="60"/>
        <w:jc w:val="both"/>
      </w:pPr>
      <w:r>
        <w:rPr>
          <w:rFonts w:ascii="Arial" w:cs="Arial" w:eastAsia="Arial" w:hAnsi="Arial"/>
          <w:sz w:val="20"/>
          <w:szCs w:val="2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1100"/>
        <w:gridCol w:w="1100"/>
        <w:gridCol w:w="1100"/>
        <w:gridCol w:w="900"/>
      </w:tblGrid>
      <w:tr>
        <w:tc>
          <w:tcPr>
            <w:tcW w:type="dxa" w:w="2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Voce</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Cons. Y1</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Base Y1</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Up. Y1</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Cons. Y2</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Base Y2</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Up. Y2</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Cons. Y3</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Base Y3</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Up. Y3</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4"/>
                <w:szCs w:val="14"/>
              </w:rPr>
              <w:t xml:space="preserve">CLIENTI &amp; SCALA</w:t>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N. clienti attivi (fine anno)</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8</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13</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14</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22</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35</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28</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85</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ARPA medio (€/anno)</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19.000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23.000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20.000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25.000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30.000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24.000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32.000</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44.000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N. partner nel network</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80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130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160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260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180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280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450</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4"/>
                <w:szCs w:val="14"/>
              </w:rPr>
              <w:t xml:space="preserve">REVENUE KORA (€)</w:t>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Subscription ARR (€)</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64.000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114.000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224.000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208.000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396.000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756.000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486.000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1.144.000</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2.736.000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Setup fee (€)</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12.500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24.000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48.750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22.500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65.000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28.000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50.000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102.000</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Orchestration / SVAM fee (€)</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28.000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52.000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99.000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189.000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100.800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224.000</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612.000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Partner revenue (€)</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18.500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22.500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42.000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70.000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40.500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70.000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130.000</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Advisor / academy (€)</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6.000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12.000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8.000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15.000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28.000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18.000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35.000</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70.000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B2B2C / top-up fee (€)</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8.000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18.000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12.000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28.000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65.000</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Territorial / KIP reporting (€)</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10.000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8.000</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20.000</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45.000</w:t>
            </w:r>
          </w:p>
        </w:tc>
      </w:tr>
      <w:tr>
        <w:tc>
          <w:tcPr>
            <w:tcW w:type="dxa" w:w="28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TOTAL REVENUE KORA (€)</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105.500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190.500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370.750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322.000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600.000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1.136.000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693.300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1.571.000</w:t>
            </w:r>
          </w:p>
        </w:tc>
        <w:tc>
          <w:tcPr>
            <w:tcW w:type="dxa" w:w="9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3.760.000</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COGS (€)</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53.000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72.000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105.000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96.000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135.000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215.000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166.500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250.000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430.000</w:t>
            </w:r>
          </w:p>
        </w:tc>
      </w:tr>
      <w:tr>
        <w:tc>
          <w:tcPr>
            <w:tcW w:type="dxa" w:w="28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GROSS MARGIN (€)</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52.500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118.500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265.750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226.000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465.000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921.000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526.800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1.321.000</w:t>
            </w:r>
          </w:p>
        </w:tc>
        <w:tc>
          <w:tcPr>
            <w:tcW w:type="dxa" w:w="9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3.330.000</w:t>
            </w:r>
          </w:p>
        </w:tc>
      </w:tr>
      <w:tr>
        <w:tc>
          <w:tcPr>
            <w:tcW w:type="dxa" w:w="28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GROSS MARGIN %</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50%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62%</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72%</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70%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78%</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81%</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76%</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84%</w:t>
            </w:r>
          </w:p>
        </w:tc>
        <w:tc>
          <w:tcPr>
            <w:tcW w:type="dxa" w:w="9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89%</w:t>
            </w:r>
          </w:p>
        </w:tc>
      </w:tr>
      <w:tr>
        <w:tc>
          <w:tcPr>
            <w:tcW w:type="dxa" w:w="2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FIXED COSTS (€)</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185.000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210.000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245.000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290.000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360.000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450.000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520.000</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700.000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1.100.000</w:t>
            </w:r>
          </w:p>
        </w:tc>
      </w:tr>
      <w:tr>
        <w:tc>
          <w:tcPr>
            <w:tcW w:type="dxa" w:w="28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EBITDA (€)</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-132.500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-91.500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20.750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-64.000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105.000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471.000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6.800</w:t>
            </w:r>
          </w:p>
        </w:tc>
        <w:tc>
          <w:tcPr>
            <w:tcW w:type="dxa" w:w="11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621.000</w:t>
            </w:r>
          </w:p>
        </w:tc>
        <w:tc>
          <w:tcPr>
            <w:tcW w:type="dxa" w:w="900"/>
            <w:gridSpan w:val="1"/>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before="0"/>
              <w:jc w:val="center"/>
            </w:pPr>
            <w:r>
              <w:rPr>
                <w:rFonts w:ascii="Arial" w:cs="Arial" w:eastAsia="Arial" w:hAnsi="Arial"/>
                <w:b/>
                <w:bCs/>
                <w:color w:val="1F3864"/>
                <w:sz w:val="13"/>
                <w:szCs w:val="13"/>
              </w:rPr>
              <w:t xml:space="preserve">2.230.000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4"/>
                <w:szCs w:val="14"/>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000000"/>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4"/>
                <w:szCs w:val="14"/>
              </w:rPr>
              <w:t xml:space="preserve">METRICHE DI SCALA (non Revenue)</w:t>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11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c>
          <w:tcPr>
            <w:tcW w:type="dxa" w:w="90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3"/>
                <w:szCs w:val="13"/>
              </w:rPr>
              <w:t xml:space="preserve"/>
            </w:r>
          </w:p>
        </w:tc>
      </w:tr>
      <w:tr>
        <w:tc>
          <w:tcPr>
            <w:tcW w:type="dxa" w:w="28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7F6000"/>
                <w:sz w:val="14"/>
                <w:szCs w:val="14"/>
              </w:rPr>
              <w:t xml:space="preserve">FUO orchestrato (€) — non Revenue</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320.000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700.000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1.600.000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1.400.000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3.300.000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7.600.000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3.500.000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8.000.000</w:t>
            </w:r>
          </w:p>
        </w:tc>
        <w:tc>
          <w:tcPr>
            <w:tcW w:type="dxa" w:w="9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22.000.000</w:t>
            </w:r>
          </w:p>
        </w:tc>
      </w:tr>
      <w:tr>
        <w:tc>
          <w:tcPr>
            <w:tcW w:type="dxa" w:w="28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7F6000"/>
                <w:sz w:val="14"/>
                <w:szCs w:val="14"/>
              </w:rPr>
              <w:t xml:space="preserve">Worker top-up volume (€) — non Revenue</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50.000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20.000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80.000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200.000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80.000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280.000</w:t>
            </w:r>
          </w:p>
        </w:tc>
        <w:tc>
          <w:tcPr>
            <w:tcW w:type="dxa" w:w="9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700.000</w:t>
            </w:r>
          </w:p>
        </w:tc>
      </w:tr>
      <w:tr>
        <w:tc>
          <w:tcPr>
            <w:tcW w:type="dxa" w:w="28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7F6000"/>
                <w:sz w:val="14"/>
                <w:szCs w:val="14"/>
              </w:rPr>
              <w:t xml:space="preserve">Partner Payout volume (€) — non Revenue</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650.000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1.500.000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1.300.000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3.100.000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7.200.000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3.300.000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7.500.000</w:t>
            </w:r>
          </w:p>
        </w:tc>
        <w:tc>
          <w:tcPr>
            <w:tcW w:type="dxa" w:w="9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21.000.000</w:t>
            </w:r>
          </w:p>
        </w:tc>
      </w:tr>
      <w:tr>
        <w:tc>
          <w:tcPr>
            <w:tcW w:type="dxa" w:w="28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7F6000"/>
                <w:sz w:val="14"/>
                <w:szCs w:val="14"/>
              </w:rPr>
              <w:t xml:space="preserve">KIP volume tracked (€) — non Revenue</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100.000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300.000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800.000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500.000</w:t>
            </w:r>
          </w:p>
        </w:tc>
        <w:tc>
          <w:tcPr>
            <w:tcW w:type="dxa" w:w="11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1.500.000</w:t>
            </w:r>
          </w:p>
        </w:tc>
        <w:tc>
          <w:tcPr>
            <w:tcW w:type="dxa" w:w="9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7F6000"/>
                <w:sz w:val="13"/>
                <w:szCs w:val="13"/>
              </w:rPr>
              <w:t xml:space="preserve">4.000.000</w:t>
            </w:r>
          </w:p>
        </w:tc>
      </w:tr>
    </w:tbl>
    <w:p>
      <w:pPr>
        <w:spacing w:after="60" w:before="60"/>
        <w:jc w:val="both"/>
      </w:pPr>
      <w:r>
        <w:rPr>
          <w:rFonts w:ascii="Arial" w:cs="Arial" w:eastAsia="Arial" w:hAnsi="Arial"/>
          <w:sz w:val="20"/>
          <w:szCs w:val="20"/>
        </w:rPr>
        <w:t xml:space="preserve"/>
      </w:r>
    </w:p>
    <w:p>
      <w:pPr>
        <w:pBdr>
          <w:left w:val="single" w:color="2E75B6" w:sz="12"/>
        </w:pBdr>
        <w:spacing w:after="60" w:before="80"/>
        <w:ind w:left="360"/>
      </w:pPr>
      <w:r>
        <w:rPr>
          <w:rFonts w:ascii="Arial" w:cs="Arial" w:eastAsia="Arial" w:hAnsi="Arial"/>
          <w:b/>
          <w:bCs/>
          <w:color w:val="2E75B6"/>
          <w:sz w:val="17"/>
          <w:szCs w:val="17"/>
        </w:rPr>
        <w:t xml:space="preserve">NOTA IMPORTANTE  </w:t>
      </w:r>
      <w:r>
        <w:rPr>
          <w:rFonts w:ascii="Arial" w:cs="Arial" w:eastAsia="Arial" w:hAnsi="Arial"/>
          <w:i/>
          <w:iCs/>
          <w:color w:val="444444"/>
          <w:sz w:val="17"/>
          <w:szCs w:val="17"/>
        </w:rPr>
        <w:t xml:space="preserve">Le metriche di scala (FUO, worker top-up, partner payout, KIP) non sono revenue KORA. Non devono mai essere sommate al Total Revenue. Servono per mostrare l'ampiezza della piattaforma e l'effetto rete, separatamente dalla performance finanziaria propria.</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16. Cost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1500"/>
        <w:gridCol w:w="2200"/>
        <w:gridCol w:w="1100"/>
      </w:tblGrid>
      <w:tr>
        <w:tc>
          <w:tcPr>
            <w:tcW w:type="dxa" w:w="2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Costo</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F/V</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Driver</w:t>
            </w:r>
          </w:p>
        </w:tc>
        <w:tc>
          <w:tcPr>
            <w:tcW w:type="dxa" w:w="15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Range annuo (€)</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Quando cresce</w:t>
            </w:r>
          </w:p>
        </w:tc>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Impatto margine</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Team prodotto (CTO / dev)</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Fisso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Milestones prodotto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80.000–180.000</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Ad ogni hire engineering</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Diretto su COGS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Customer success &amp; operations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Misto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 clienti attivi</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30.000–90.000</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Ogni 8–10 clienti aggiuntivi</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Diretto su COGS</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Compliance / legal / commercialista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Fisso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Fase</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20.000–50.000</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Stabile dopo setup; review annuale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Fixed overhead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Istituto di pagamento partner — canone fisso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Fisso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Contratto PI</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12.000–30.000</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Stabile fino a rinnovo contratto</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COGS (imputato a FUO operations)</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Istituto di pagamento partner — commissioni variabili</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Variabile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FUO orchestrato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0,3–0,9% del transato</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Proporzionale ai FUO; non al revenue</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COGS (variabile)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Stripe — commissioni KORA Fees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Variabile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Revenue KORA</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1,4–2,9% + €0,25 per transazione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Proporzionale al Revenue</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COGS (diretto)</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Cloud / infrastruttura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Misto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 clienti + transazioni</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8.000–25.000</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Ogni scaling significativo</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COGS (variabile)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DPO / privacy advisor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Fisso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Contratto</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4.000–8.000</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Stabile; review periodica</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Fixed overhead</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Assicurazioni (RC prof. + cyber + D&amp;O)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Fisso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Revenue e rischio</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5.000–15.000</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Cresce con revenue e team</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Fixed overhead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Sales &amp; marketing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Misto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Pipeline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30.000–100.000</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Proporzionale all'obiettivo di crescita</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Sales overhead</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KYC/AML partner (supporto onboarding)</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Variabile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 partner onboardati</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150–300 per partner</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Con espansione network</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COGS (variabile)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Advisor compensation (certificazione partner)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Variabile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 partner certificati</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150–1.500 per certificazione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Con espansione network</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COGS (variabile)</w:t>
            </w:r>
          </w:p>
        </w:tc>
      </w:tr>
      <w:tr>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Audit e validazioni professionali</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Una tantum / annuale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Normativa e crescita</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5.000–15.000/anno</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Annuale + al cambio normativo</w:t>
            </w:r>
          </w:p>
        </w:tc>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Fixed overhead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Admin / contabilità / back-office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Fisso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Dimensione società</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6.000–12.000</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Stabile nei primi anni</w:t>
            </w:r>
          </w:p>
        </w:tc>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Fixed overhead</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17. Risk Map — completa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
        <w:gridCol w:w="1500"/>
        <w:gridCol w:w="1000"/>
        <w:gridCol w:w="900"/>
        <w:gridCol w:w="1800"/>
        <w:gridCol w:w="1600"/>
        <w:gridCol w:w="1400"/>
        <w:gridCol w:w="1040"/>
      </w:tblGrid>
      <w:tr>
        <w:tc>
          <w:tcPr>
            <w:tcW w:type="dxa" w:w="26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w:t>
            </w:r>
          </w:p>
        </w:tc>
        <w:tc>
          <w:tcPr>
            <w:tcW w:type="dxa" w:w="15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Rischio</w:t>
            </w:r>
          </w:p>
        </w:tc>
        <w:tc>
          <w:tcPr>
            <w:tcW w:type="dxa" w:w="1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Prob.</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Impatto</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Mitigazione</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Owner</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Validazione</w:t>
            </w:r>
          </w:p>
        </w:tc>
        <w:tc>
          <w:tcPr>
            <w:tcW w:type="dxa" w:w="104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Residuo</w:t>
            </w:r>
          </w:p>
        </w:tc>
      </w:tr>
      <w:tr>
        <w:tc>
          <w:tcPr>
            <w:tcW w:type="dxa" w:w="26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3"/>
                <w:szCs w:val="13"/>
              </w:rPr>
              <w:t xml:space="preserve">FISCALI</w:t>
            </w:r>
          </w:p>
        </w:tc>
        <w:tc>
          <w:tcPr>
            <w:tcW w:type="dxa" w:w="9240"/>
            <w:gridSpan w:val="7"/>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5"/>
                <w:szCs w:val="15"/>
              </w:rPr>
              <w:t xml:space="preserve">FISCALI</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F1</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Errata classificazione welfare: erogazioni riqualificate come retribuzione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2"/>
                <w:szCs w:val="12"/>
              </w:rPr>
              <w:t xml:space="preserve">Critico — IRPEF + contributi arretrati + sanzioni per il cliente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Categorie 'da_validare' bloccate automaticamente. Status validation_pending impedisce l'approvazione su categorie critiche.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Azienda cliente + commercialista welfare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Parere scritto per ogni nuova categoria. Revisione periodica normativa.</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F2</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Superamento soglia fringe benefit: importo aggiuntivo imponibile</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Alta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contributi previdenziali azienda + lavoratore; comunicazione payroll tardiva</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Monitoraggio cumulato annuo per lavoratore. Alert a soglia 80% e 95%. Blocco automatico o requires_payroll_review a 100%.</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KORA Guardrails + consulente del lavoro cliente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Soglia aggiornata annualmente su comunicazione formale del consulente del lavoro.</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 se aggiornato</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F3</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Riqualifica come retribuzione monetaria per convertibilità in denaro</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Bassa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2"/>
                <w:szCs w:val="12"/>
              </w:rPr>
              <w:t xml:space="preserve">Critico — perdita intero beneficio fiscale del cliente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Controllo non-convertibilità su ogni transazione. Blocco assoluto fail-safe.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KORA Guardrails (architetturale)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Parere consulente del lavoro sulla struttura programma. Controllo annuale.</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Molto basso</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F4</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Documentazione probatoria insufficiente in accertamento</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fascicolo non sostiene la qualifica fiscale; AdE contesta</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Controllo partner_document_required_flag prima di ogni autorizzazione. Blocco se documento non configurato.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Partner certificato + KORA audit trail</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Definizione documento richiesto per ogni categoria, validata da commercialista, prima del lancio.</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F5</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Perdita beneficio fiscale per errori sistematici di classificazione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Bassa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2"/>
                <w:szCs w:val="12"/>
              </w:rPr>
              <w:t xml:space="preserve">Critico per il cliente — decadimento trattamento agevolato per un'intera annualità</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Architettura di controllo multicapa (Guardrails + audit trail + Welfare Statement + pareri advisor).</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Azienda + advisor del cliente. KORA supporta con documentazione.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Revisione annuale del programma con commercialista e consulente del lavoro.</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w:t>
            </w:r>
          </w:p>
        </w:tc>
      </w:tr>
      <w:tr>
        <w:tc>
          <w:tcPr>
            <w:tcW w:type="dxa" w:w="26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3"/>
                <w:szCs w:val="13"/>
              </w:rPr>
              <w:t xml:space="preserve">CONTABILI</w:t>
            </w:r>
          </w:p>
        </w:tc>
        <w:tc>
          <w:tcPr>
            <w:tcW w:type="dxa" w:w="9240"/>
            <w:gridSpan w:val="7"/>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5"/>
                <w:szCs w:val="15"/>
              </w:rPr>
              <w:t xml:space="preserve">CONTABILI</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C1</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FUO trattati come ricavi KORA</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Bassa (se architettura corretta)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2"/>
                <w:szCs w:val="12"/>
              </w:rPr>
              <w:t xml:space="preserve">Critico — IVA 22% sull'intero transato + sanzioni + rischio PSD2</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Conti d'ordine dal giorno 1. FUO mai nel CE KORA. Architettura payment con PI che non transita su conto KORA.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CFO KORA + commercialista</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Parere fiscale FUO prima del go-live. Revisione annuale del piano dei conti.</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Molto basso</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C2</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Partner payout trattati come costi KORA</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distorsione del margine; COGS gonfiato artificialmente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I payout sono movimenti dei conti d'ordine, non costi KORA. Il canone PI e le commissioni PI sono costi KORA.</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CFO KORA + commercialista</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Setup piano dei conti adeguato prima del primo cliente.</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C3</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Piano dei conti non adeguato alla separazione Revenue/FUO</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Alta (in fase early)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difficoltà di audit, reporting investor errato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Piano dei conti su misura costruito con commercialista specialista SaaS/welfare prima del primo cliente.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Commercialista KORA</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Setup obbligatorio prima del go-live.</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 se setup corretto</w:t>
            </w:r>
          </w:p>
        </w:tc>
      </w:tr>
      <w:tr>
        <w:tc>
          <w:tcPr>
            <w:tcW w:type="dxa" w:w="26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3"/>
                <w:szCs w:val="13"/>
              </w:rPr>
              <w:t xml:space="preserve">PSD2 / PAYMENT</w:t>
            </w:r>
          </w:p>
        </w:tc>
        <w:tc>
          <w:tcPr>
            <w:tcW w:type="dxa" w:w="9240"/>
            <w:gridSpan w:val="7"/>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5"/>
                <w:szCs w:val="15"/>
              </w:rPr>
              <w:t xml:space="preserve">PSD2 / PAYMENT</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P1</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KORA qualificata come payment institution de facto</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Bassa (se architettura corretta)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C00000"/>
                <w:sz w:val="12"/>
                <w:szCs w:val="12"/>
              </w:rPr>
              <w:t xml:space="preserve">Critico — autorizzazione PI richiede 9–18 mesi e €125–350k capitale; abusivismo finanziario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Istituto di pagamento partner regolato gestisce custodia e payout. KORA invia solo istruzioni tecniche. FUO mai su conto KORA.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Legal advisor PSD2</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Parere legal PSD2 prima del go-live. Review periodica per PSD3/PSR.</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Molto basso</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P2</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FUO transitano (anche temporaneamente) sul conto operativo KORA</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Bassa (architetturale)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C00000"/>
                <w:sz w:val="12"/>
                <w:szCs w:val="12"/>
              </w:rPr>
              <w:t xml:space="preserve">Critico — presunzione di ricavo + rischio PSD2 + IVA 22%</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Regola architetturale assoluta: KORA non riceve mai FUO. Escrow sempre presso PI partner.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Architettura payment KORA (non derogabile)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Verificato in ogni test di integrazione con PI partner.</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Nullo se architettura rispettata</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P3</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Istruzioni di payout troppo discrezionali: KORA percepita come gestore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rischio riqualifica come PI o come gestore di portafoglio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Le istruzioni tecniche sono configurate automaticamente dal sistema in base alle prenotazioni del lavoratore. Non sono decisioni discrezionali di KORA.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Legal advisor PSD2 + architettura prodotto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Parere su struttura delle istruzioni tecniche. Clausola MSA di limitazione.</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w:t>
            </w:r>
          </w:p>
        </w:tc>
      </w:tr>
      <w:tr>
        <w:tc>
          <w:tcPr>
            <w:tcW w:type="dxa" w:w="26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3"/>
                <w:szCs w:val="13"/>
              </w:rPr>
              <w:t xml:space="preserve">PROCUREMENT</w:t>
            </w:r>
          </w:p>
        </w:tc>
        <w:tc>
          <w:tcPr>
            <w:tcW w:type="dxa" w:w="9240"/>
            <w:gridSpan w:val="7"/>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5"/>
                <w:szCs w:val="15"/>
              </w:rPr>
              <w:t xml:space="preserve">PROCUREMENT</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P4</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Azienda costretta a onboardare partner individualmente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Alta (senza SVAM)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blocca l'adozione enterprise; perdita di clienti strategici</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SVAM risolve strutturalmente il problema. Materiali procurement-ready che descrivono KORA come unico vendor.</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KORA (implementazione SVAM)</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Validazione commercialista welfare + legal advisor sulla struttura SVAM.</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 con SVAM attivo</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P5</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SVAM non accettato dall'ufficio legale del cliente</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375623"/>
                <w:sz w:val="12"/>
                <w:szCs w:val="12"/>
              </w:rPr>
              <w:t xml:space="preserve">Media — rallenta il deal; richiede negoziazione contrattuale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Clausole MSA pre-validate da legal advisor. Lettera di comfort con parere PSD2 allegato. Variante C (fattura diretta) come fallback.</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Legal advisor + Sales KORA</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Review delle clausole MSA con legal advisor prima di ogni negoziazione enterprise.</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Medio</w:t>
            </w:r>
          </w:p>
        </w:tc>
      </w:tr>
      <w:tr>
        <w:tc>
          <w:tcPr>
            <w:tcW w:type="dxa" w:w="26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3"/>
                <w:szCs w:val="13"/>
              </w:rPr>
              <w:t xml:space="preserve">OPERATIVI</w:t>
            </w:r>
          </w:p>
        </w:tc>
        <w:tc>
          <w:tcPr>
            <w:tcW w:type="dxa" w:w="9240"/>
            <w:gridSpan w:val="7"/>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5"/>
                <w:szCs w:val="15"/>
              </w:rPr>
              <w:t xml:space="preserve">OPERATIVI</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O1</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KYC partner lento: blocca il payout</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Alta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375623"/>
                <w:sz w:val="12"/>
                <w:szCs w:val="12"/>
              </w:rPr>
              <w:t xml:space="preserve">Media — ritardo nel lancio; partner insoddisfatti</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Avviare KYC contestualmente all'onboarding del partner. Pianificare 2–8 settimane.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KORA operations + PI partner</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Accordo operativo con PI partner su tempistiche KYC. Test prima del lancio.</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 se pianificato</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O2</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Partner non produce documentazione probatoria adeguata</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fascicolo incompleto; rischio accertamento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Controllo partner_document_required_flag nel Guardrails. Formazione partner. Sospensione payout in assenza di documento.</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KORA + partner certificato</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Validazione tipo documento per ogni partner/categoria prima dell'abilitazione.</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O3</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Welfare Statement non integrato nel payroll del cliente</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375623"/>
                <w:sz w:val="12"/>
                <w:szCs w:val="12"/>
              </w:rPr>
              <w:t xml:space="preserve">Media — divergenza tra rendicontazione KORA e cedolino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Formato payroll-ready. Accordo procedurale con consulente del lavoro del cliente prima del lancio. Test di integrazione.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Consulente del lavoro cliente + KORA</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Test di integrazione payroll nel programma di go-live.</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Medio senza accordo</w:t>
            </w:r>
          </w:p>
        </w:tc>
      </w:tr>
      <w:tr>
        <w:tc>
          <w:tcPr>
            <w:tcW w:type="dxa" w:w="260"/>
            <w:gridSpan w:val="1"/>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3"/>
                <w:szCs w:val="13"/>
              </w:rPr>
              <w:t xml:space="preserve">COMMERCIALI / FINANZIARI</w:t>
            </w:r>
          </w:p>
        </w:tc>
        <w:tc>
          <w:tcPr>
            <w:tcW w:type="dxa" w:w="9240"/>
            <w:gridSpan w:val="7"/>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5"/>
                <w:szCs w:val="15"/>
              </w:rPr>
              <w:t xml:space="preserve">COMMERCIALI / FINANZIARI</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E1</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ARPA insufficiente per coprire i costi nei primi anni</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Alta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FF8C00"/>
                <w:sz w:val="12"/>
                <w:szCs w:val="12"/>
              </w:rPr>
              <w:t xml:space="preserve">Alta — cash burn eccessivo; round necessario prima del break-even</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Pricing architecture con fee di orchestration e SVAM separate dalla subscription. Upsell sistematico su tier.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CFO KORA + Sales</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Validazione pricing con prime negoziazioni commerciali.</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Medio</w:t>
            </w:r>
          </w:p>
        </w:tc>
      </w:tr>
      <w:tr>
        <w:tc>
          <w:tcPr>
            <w:tcW w:type="dxa" w:w="26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E2</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Fee variabile percepita come take-rate marketplace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FF8C00"/>
                <w:sz w:val="13"/>
                <w:szCs w:val="13"/>
              </w:rPr>
              <w:t xml:space="preserve">Media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375623"/>
                <w:sz w:val="12"/>
                <w:szCs w:val="12"/>
              </w:rPr>
              <w:t xml:space="preserve">Media — rischio riqualifica fiscale + narrativa investor danneggiata</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Preferenza MVP: fee flat. Se variabile, mai su FUO; sempre su effort KORA documentato. Clausola contrattuale esplicita.</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CFO KORA + commercialista</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Parere commercialista welfare sulla struttura della fee variabile prima dell'adozione.</w:t>
            </w:r>
          </w:p>
        </w:tc>
        <w:tc>
          <w:tcPr>
            <w:tcW w:type="dxa" w:w="104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Basso con flat fee</w:t>
            </w:r>
          </w:p>
        </w:tc>
      </w:tr>
      <w:tr>
        <w:tc>
          <w:tcPr>
            <w:tcW w:type="dxa" w:w="26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center"/>
            </w:pPr>
            <w:r>
              <w:rPr>
                <w:rFonts w:ascii="Arial" w:cs="Arial" w:eastAsia="Arial" w:hAnsi="Arial"/>
                <w:b/>
                <w:bCs/>
                <w:color w:val="000000"/>
                <w:sz w:val="13"/>
                <w:szCs w:val="13"/>
              </w:rPr>
              <w:t xml:space="preserve">E3</w:t>
            </w:r>
          </w:p>
        </w:tc>
        <w:tc>
          <w:tcPr>
            <w:tcW w:type="dxa" w:w="15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Marginalità bassa nei primi 18 mesi</w:t>
            </w:r>
          </w:p>
        </w:tc>
        <w:tc>
          <w:tcPr>
            <w:tcW w:type="dxa" w:w="1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Alta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375623"/>
                <w:sz w:val="12"/>
                <w:szCs w:val="12"/>
              </w:rPr>
              <w:t xml:space="preserve">Media — normale per early-stage; rischio se non gestito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Controllo COGS per cliente. Onboarding standardizzato. Automazione del Guardrails per ridurre il labor cost operativo.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2"/>
                <w:szCs w:val="12"/>
              </w:rPr>
              <w:t xml:space="preserve">CFO KORA</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Budget trimestrale aggiornato.</w:t>
            </w:r>
          </w:p>
        </w:tc>
        <w:tc>
          <w:tcPr>
            <w:tcW w:type="dxa" w:w="104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2"/>
                <w:szCs w:val="12"/>
              </w:rPr>
              <w:t xml:space="preserve">Medio (strutturale early)</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18. Governance &amp; Controls</w:t>
      </w:r>
    </w:p>
    <w:p>
      <w:pPr>
        <w:spacing w:after="80" w:before="60"/>
        <w:jc w:val="both"/>
      </w:pPr>
      <w:r>
        <w:rPr>
          <w:rFonts w:ascii="Arial" w:cs="Arial" w:eastAsia="Arial" w:hAnsi="Arial"/>
          <w:sz w:val="20"/>
          <w:szCs w:val="20"/>
        </w:rPr>
        <w:t xml:space="preserve">Il modello di governance di KORA si fonda su processi documentati e ricorrenti che mantengono la separazione Revenue/FUO e la compliance fiscale nel tempo. La governance non è un evento una tantum: è un processo continuo.</w:t>
      </w:r>
    </w:p>
    <w:p>
      <w:pPr>
        <w:spacing w:after="10" w:before="80"/>
        <w:jc w:val="both"/>
      </w:pPr>
      <w:r>
        <w:rPr>
          <w:rFonts w:ascii="Arial" w:cs="Arial" w:eastAsia="Arial" w:hAnsi="Arial"/>
          <w:b/>
          <w:bCs/>
          <w:color w:val="1F3864"/>
          <w:sz w:val="18"/>
          <w:szCs w:val="18"/>
        </w:rPr>
        <w:t xml:space="preserve">Revenue/FUO Separation Policy</w:t>
      </w:r>
    </w:p>
    <w:p>
      <w:pPr>
        <w:spacing w:after="80" w:before="60"/>
        <w:jc w:val="both"/>
      </w:pPr>
      <w:r>
        <w:rPr>
          <w:rFonts w:ascii="Arial" w:cs="Arial" w:eastAsia="Arial" w:hAnsi="Arial"/>
          <w:sz w:val="20"/>
          <w:szCs w:val="20"/>
        </w:rPr>
        <w:t xml:space="preserve">Revisione trimestrale del piano dei conti. Riconciliazione mensile tra estratto conto PI e conti d'ordine KORA. Nessuna operazione contabile che trasferisca FUO al CE senza parere scritto del commercialista.</w:t>
      </w:r>
    </w:p>
    <w:p>
      <w:pPr>
        <w:spacing w:after="10" w:before="80"/>
        <w:jc w:val="both"/>
      </w:pPr>
      <w:r>
        <w:rPr>
          <w:rFonts w:ascii="Arial" w:cs="Arial" w:eastAsia="Arial" w:hAnsi="Arial"/>
          <w:b/>
          <w:bCs/>
          <w:color w:val="1F3864"/>
          <w:sz w:val="18"/>
          <w:szCs w:val="18"/>
        </w:rPr>
        <w:t xml:space="preserve">Fiscal Guardrails Update Policy</w:t>
      </w:r>
    </w:p>
    <w:p>
      <w:pPr>
        <w:spacing w:after="80" w:before="60"/>
        <w:jc w:val="both"/>
      </w:pPr>
      <w:r>
        <w:rPr>
          <w:rFonts w:ascii="Arial" w:cs="Arial" w:eastAsia="Arial" w:hAnsi="Arial"/>
          <w:sz w:val="20"/>
          <w:szCs w:val="20"/>
        </w:rPr>
        <w:t xml:space="preserve">Aggiornamento delle configurazioni del Guardrails a ogni cambio normativo rilevante (Leggi di Bilancio, circolari AdE, prassi). Responsabile: KORA operations, su input del commercialista welfare.</w:t>
      </w:r>
    </w:p>
    <w:p>
      <w:pPr>
        <w:spacing w:after="10" w:before="80"/>
        <w:jc w:val="both"/>
      </w:pPr>
      <w:r>
        <w:rPr>
          <w:rFonts w:ascii="Arial" w:cs="Arial" w:eastAsia="Arial" w:hAnsi="Arial"/>
          <w:b/>
          <w:bCs/>
          <w:color w:val="1F3864"/>
          <w:sz w:val="18"/>
          <w:szCs w:val="18"/>
        </w:rPr>
        <w:t xml:space="preserve">Annual Fringe Threshold Update</w:t>
      </w:r>
    </w:p>
    <w:p>
      <w:pPr>
        <w:spacing w:after="80" w:before="60"/>
        <w:jc w:val="both"/>
      </w:pPr>
      <w:r>
        <w:rPr>
          <w:rFonts w:ascii="Arial" w:cs="Arial" w:eastAsia="Arial" w:hAnsi="Arial"/>
          <w:sz w:val="20"/>
          <w:szCs w:val="20"/>
        </w:rPr>
        <w:t xml:space="preserve">Entro gennaio di ogni anno solare: il commercialista welfare del cliente comunica formalmente a KORA la soglia fringe benefit vigente. KORA aggiorna la configurazione del Guardrails e lo documenta nell'audit trail.</w:t>
      </w:r>
    </w:p>
    <w:p>
      <w:pPr>
        <w:spacing w:after="10" w:before="80"/>
        <w:jc w:val="both"/>
      </w:pPr>
      <w:r>
        <w:rPr>
          <w:rFonts w:ascii="Arial" w:cs="Arial" w:eastAsia="Arial" w:hAnsi="Arial"/>
          <w:b/>
          <w:bCs/>
          <w:color w:val="1F3864"/>
          <w:sz w:val="18"/>
          <w:szCs w:val="18"/>
        </w:rPr>
        <w:t xml:space="preserve">Advisor Validation Process</w:t>
      </w:r>
    </w:p>
    <w:p>
      <w:pPr>
        <w:spacing w:after="80" w:before="60"/>
        <w:jc w:val="both"/>
      </w:pPr>
      <w:r>
        <w:rPr>
          <w:rFonts w:ascii="Arial" w:cs="Arial" w:eastAsia="Arial" w:hAnsi="Arial"/>
          <w:sz w:val="20"/>
          <w:szCs w:val="20"/>
        </w:rPr>
        <w:t xml:space="preserve">Ogni advisor accreditato KORA viene validato annualmente: verifica della propria abilitazione professionale, review della metodologia di certificazione, eventuale rinnovo della partnership.</w:t>
      </w:r>
    </w:p>
    <w:p>
      <w:pPr>
        <w:spacing w:after="10" w:before="80"/>
        <w:jc w:val="both"/>
      </w:pPr>
      <w:r>
        <w:rPr>
          <w:rFonts w:ascii="Arial" w:cs="Arial" w:eastAsia="Arial" w:hAnsi="Arial"/>
          <w:b/>
          <w:bCs/>
          <w:color w:val="1F3864"/>
          <w:sz w:val="18"/>
          <w:szCs w:val="18"/>
        </w:rPr>
        <w:t xml:space="preserve">Partner Validation &amp; KYC/KYB</w:t>
      </w:r>
    </w:p>
    <w:p>
      <w:pPr>
        <w:spacing w:after="80" w:before="60"/>
        <w:jc w:val="both"/>
      </w:pPr>
      <w:r>
        <w:rPr>
          <w:rFonts w:ascii="Arial" w:cs="Arial" w:eastAsia="Arial" w:hAnsi="Arial"/>
          <w:sz w:val="20"/>
          <w:szCs w:val="20"/>
        </w:rPr>
        <w:t xml:space="preserve">Ogni nuovo partner viene certificato metodologicamente (advisor accreditato) e verificato da KYC/AML (istituto di pagamento partner). La certificazione è rinnovata ogni 2–3 anni o al cambio di categoria.</w:t>
      </w:r>
    </w:p>
    <w:p>
      <w:pPr>
        <w:spacing w:after="10" w:before="80"/>
        <w:jc w:val="both"/>
      </w:pPr>
      <w:r>
        <w:rPr>
          <w:rFonts w:ascii="Arial" w:cs="Arial" w:eastAsia="Arial" w:hAnsi="Arial"/>
          <w:b/>
          <w:bCs/>
          <w:color w:val="1F3864"/>
          <w:sz w:val="18"/>
          <w:szCs w:val="18"/>
        </w:rPr>
        <w:t xml:space="preserve">Welfare Statement Review</w:t>
      </w:r>
    </w:p>
    <w:p>
      <w:pPr>
        <w:spacing w:after="80" w:before="60"/>
        <w:jc w:val="both"/>
      </w:pPr>
      <w:r>
        <w:rPr>
          <w:rFonts w:ascii="Arial" w:cs="Arial" w:eastAsia="Arial" w:hAnsi="Arial"/>
          <w:sz w:val="20"/>
          <w:szCs w:val="20"/>
        </w:rPr>
        <w:t xml:space="preserve">Il Welfare Statement mensile è prodotto entro il 5° giorno lavorativo del mese successivo. Il consulente del lavoro del cliente lo riceve e lo valida prima dell'integrazione nel cedolino.</w:t>
      </w:r>
    </w:p>
    <w:p>
      <w:pPr>
        <w:spacing w:after="10" w:before="80"/>
        <w:jc w:val="both"/>
      </w:pPr>
      <w:r>
        <w:rPr>
          <w:rFonts w:ascii="Arial" w:cs="Arial" w:eastAsia="Arial" w:hAnsi="Arial"/>
          <w:b/>
          <w:bCs/>
          <w:color w:val="1F3864"/>
          <w:sz w:val="18"/>
          <w:szCs w:val="18"/>
        </w:rPr>
        <w:t xml:space="preserve">Incident Management</w:t>
      </w:r>
    </w:p>
    <w:p>
      <w:pPr>
        <w:spacing w:after="80" w:before="60"/>
        <w:jc w:val="both"/>
      </w:pPr>
      <w:r>
        <w:rPr>
          <w:rFonts w:ascii="Arial" w:cs="Arial" w:eastAsia="Arial" w:hAnsi="Arial"/>
          <w:sz w:val="20"/>
          <w:szCs w:val="20"/>
        </w:rPr>
        <w:t xml:space="preserve">In caso di errore del Guardrails, di payout non autorizzato o di misclassification: procedura documentata con escalation al commercialista welfare e al legal advisor. Notifica al cliente entro 24h. Correzione documentata nell'audit trail.</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19. Advisor Validation Pack</w:t>
      </w:r>
    </w:p>
    <w:p>
      <w:pPr>
        <w:spacing w:after="100" w:before="200"/>
      </w:pPr>
      <w:r>
        <w:rPr>
          <w:rFonts w:ascii="Arial" w:cs="Arial" w:eastAsia="Arial" w:hAnsi="Arial"/>
          <w:b/>
          <w:bCs/>
          <w:color w:val="1F3864"/>
          <w:sz w:val="21"/>
          <w:szCs w:val="21"/>
        </w:rPr>
        <w:t xml:space="preserve">19A. Commercialista welfare</w:t>
      </w:r>
    </w:p>
    <w:p>
      <w:pPr>
        <w:pStyle w:val="ListParagraph"/>
        <w:numPr>
          <w:ilvl w:val="0"/>
          <w:numId w:val="3"/>
        </w:numPr>
        <w:spacing w:after="40" w:before="40"/>
      </w:pPr>
      <w:r>
        <w:rPr>
          <w:rFonts w:ascii="Arial" w:cs="Arial" w:eastAsia="Arial" w:hAnsi="Arial"/>
          <w:sz w:val="19"/>
          <w:szCs w:val="19"/>
        </w:rPr>
        <w:t xml:space="preserve">Nella struttura SVAM in cui KORA centralizza la fatturazione dei partner, quale delle tre varianti (A: partner fattura a KORA; B: partner emette nota verso KORA; C: partner fattura all'azienda con KORA mandatario) è fiscalmente più robusta? Quali condizioni la rendono applicabile?</w:t>
      </w:r>
    </w:p>
    <w:p>
      <w:pPr>
        <w:pStyle w:val="ListParagraph"/>
        <w:numPr>
          <w:ilvl w:val="0"/>
          <w:numId w:val="3"/>
        </w:numPr>
        <w:spacing w:after="40" w:before="40"/>
      </w:pPr>
      <w:r>
        <w:rPr>
          <w:rFonts w:ascii="Arial" w:cs="Arial" w:eastAsia="Arial" w:hAnsi="Arial"/>
          <w:sz w:val="19"/>
          <w:szCs w:val="19"/>
        </w:rPr>
        <w:t xml:space="preserve">La rendicontazione aggregata KORA verso l'azienda che 'ribalta' il costo dei servizi partner è qualificabile come riaddebito / partita di giro senza che generi ricavo lordo in capo a KORA? Quali clausole contrattuali e quale impostazione contabile sono necessarie?</w:t>
      </w:r>
    </w:p>
    <w:p>
      <w:pPr>
        <w:pStyle w:val="ListParagraph"/>
        <w:numPr>
          <w:ilvl w:val="0"/>
          <w:numId w:val="3"/>
        </w:numPr>
        <w:spacing w:after="40" w:before="40"/>
      </w:pPr>
      <w:r>
        <w:rPr>
          <w:rFonts w:ascii="Arial" w:cs="Arial" w:eastAsia="Arial" w:hAnsi="Arial"/>
          <w:sz w:val="19"/>
          <w:szCs w:val="19"/>
        </w:rPr>
        <w:t xml:space="preserve">Come va iscritto nel piano dei conti KORA il documento fiscale ricevuto dai partner (fattura o nota di debito in variante A/B)? Il conto 90.08.x come partita di giro è la configurazione corretta?</w:t>
      </w:r>
    </w:p>
    <w:p>
      <w:pPr>
        <w:pStyle w:val="ListParagraph"/>
        <w:numPr>
          <w:ilvl w:val="0"/>
          <w:numId w:val="3"/>
        </w:numPr>
        <w:spacing w:after="40" w:before="40"/>
      </w:pPr>
      <w:r>
        <w:rPr>
          <w:rFonts w:ascii="Arial" w:cs="Arial" w:eastAsia="Arial" w:hAnsi="Arial"/>
          <w:sz w:val="19"/>
          <w:szCs w:val="19"/>
        </w:rPr>
        <w:t xml:space="preserve">Confermi che, nella struttura ibrida con PI partner, i FUO custoditi presso il PI sono qualificabili come fondi di terzi e non come ricavi propri di KORA? Quali clausole contrattuali supportano la qualifica?</w:t>
      </w:r>
    </w:p>
    <w:p>
      <w:pPr>
        <w:pStyle w:val="ListParagraph"/>
        <w:numPr>
          <w:ilvl w:val="0"/>
          <w:numId w:val="3"/>
        </w:numPr>
        <w:spacing w:after="40" w:before="40"/>
      </w:pPr>
      <w:r>
        <w:rPr>
          <w:rFonts w:ascii="Arial" w:cs="Arial" w:eastAsia="Arial" w:hAnsi="Arial"/>
          <w:sz w:val="19"/>
          <w:szCs w:val="19"/>
        </w:rPr>
        <w:t xml:space="preserve">Quali delle nove categorie fiscali descritte (welfare 51 TUIR, fringe, formazione, HSE, CSR, HR discretionary, employee-paid, co-funded, no-payment) KORA può trattare nel perimetro agevolato? Per quelle non agevolate: quale tax_treatment_status è corretto?</w:t>
      </w:r>
    </w:p>
    <w:p>
      <w:pPr>
        <w:pStyle w:val="ListParagraph"/>
        <w:numPr>
          <w:ilvl w:val="0"/>
          <w:numId w:val="3"/>
        </w:numPr>
        <w:spacing w:after="40" w:before="40"/>
      </w:pPr>
      <w:r>
        <w:rPr>
          <w:rFonts w:ascii="Arial" w:cs="Arial" w:eastAsia="Arial" w:hAnsi="Arial"/>
          <w:sz w:val="19"/>
          <w:szCs w:val="19"/>
        </w:rPr>
        <w:t xml:space="preserve">Per ciascuna categoria di servizio welfare: quale tipo di documento probatorio (fattura, attestato, dichiarazione) è necessario e sufficiente per sostenere la qualifica fiscale in accertamento AdE o ITL/INPS?</w:t>
      </w:r>
    </w:p>
    <w:p>
      <w:pPr>
        <w:pStyle w:val="ListParagraph"/>
        <w:numPr>
          <w:ilvl w:val="0"/>
          <w:numId w:val="3"/>
        </w:numPr>
        <w:spacing w:after="40" w:before="40"/>
      </w:pPr>
      <w:r>
        <w:rPr>
          <w:rFonts w:ascii="Arial" w:cs="Arial" w:eastAsia="Arial" w:hAnsi="Arial"/>
          <w:sz w:val="19"/>
          <w:szCs w:val="19"/>
        </w:rPr>
        <w:t xml:space="preserve">Come trattare fiscalmente il co-funded? La quota aziendale mantiene il trattamento welfare se la quota personale è separata? Quali condizioni devono essere soddisfatte?</w:t>
      </w:r>
    </w:p>
    <w:p>
      <w:pPr>
        <w:pStyle w:val="ListParagraph"/>
        <w:numPr>
          <w:ilvl w:val="0"/>
          <w:numId w:val="3"/>
        </w:numPr>
        <w:spacing w:after="40" w:before="40"/>
      </w:pPr>
      <w:r>
        <w:rPr>
          <w:rFonts w:ascii="Arial" w:cs="Arial" w:eastAsia="Arial" w:hAnsi="Arial"/>
          <w:sz w:val="19"/>
          <w:szCs w:val="19"/>
        </w:rPr>
        <w:t xml:space="preserve">Come trattare il top-up personale del lavoratore? La service fee KORA sul top-up è soggetta a IVA 22%? Il top-up è rilevante fiscalmente per il lavoratore?</w:t>
      </w:r>
    </w:p>
    <w:p>
      <w:pPr>
        <w:pStyle w:val="ListParagraph"/>
        <w:numPr>
          <w:ilvl w:val="0"/>
          <w:numId w:val="3"/>
        </w:numPr>
        <w:spacing w:after="40" w:before="40"/>
      </w:pPr>
      <w:r>
        <w:rPr>
          <w:rFonts w:ascii="Arial" w:cs="Arial" w:eastAsia="Arial" w:hAnsi="Arial"/>
          <w:sz w:val="19"/>
          <w:szCs w:val="19"/>
        </w:rPr>
        <w:t xml:space="preserve">La fee di centralizzazione/orchestrazione che KORA fattura all'azienda per il servizio SVAM (voce 70.06.x) è qualificabile come prestazione di servizi soggetta a IVA 22%? Esiste rischio di riqualifica come intermediazione finanziaria?</w:t>
      </w:r>
    </w:p>
    <w:p>
      <w:pPr>
        <w:pStyle w:val="ListParagraph"/>
        <w:numPr>
          <w:ilvl w:val="0"/>
          <w:numId w:val="3"/>
        </w:numPr>
        <w:spacing w:after="40" w:before="40"/>
      </w:pPr>
      <w:r>
        <w:rPr>
          <w:rFonts w:ascii="Arial" w:cs="Arial" w:eastAsia="Arial" w:hAnsi="Arial"/>
          <w:sz w:val="19"/>
          <w:szCs w:val="19"/>
        </w:rPr>
        <w:t xml:space="preserve">Quali soglie fringe benefit (art. 51 c.3 TUIR) si applicano per l'anno corrente e quali variazioni legislative sono attese? Come strutturare il processo di aggiornamento annuale della configurazione KORA?</w:t>
      </w:r>
    </w:p>
    <w:p>
      <w:pPr>
        <w:spacing w:after="100" w:before="200"/>
      </w:pPr>
      <w:r>
        <w:rPr>
          <w:rFonts w:ascii="Arial" w:cs="Arial" w:eastAsia="Arial" w:hAnsi="Arial"/>
          <w:b/>
          <w:bCs/>
          <w:color w:val="1F3864"/>
          <w:sz w:val="21"/>
          <w:szCs w:val="21"/>
        </w:rPr>
        <w:t xml:space="preserve">19B. Consulente del lavoro</w:t>
      </w:r>
    </w:p>
    <w:p>
      <w:pPr>
        <w:pStyle w:val="ListParagraph"/>
        <w:numPr>
          <w:ilvl w:val="0"/>
          <w:numId w:val="3"/>
        </w:numPr>
        <w:spacing w:after="40" w:before="40"/>
      </w:pPr>
      <w:r>
        <w:rPr>
          <w:rFonts w:ascii="Arial" w:cs="Arial" w:eastAsia="Arial" w:hAnsi="Arial"/>
          <w:sz w:val="19"/>
          <w:szCs w:val="19"/>
        </w:rPr>
        <w:t xml:space="preserve">Come integrare il Welfare Statement KORA (in formato payroll-ready) nel processo di elaborazione del cedolino? Quali campi del Welfare Statement hanno impatto diretto sul cedolino? Con quale tempistica il Welfare Statement deve essere ricevuto?</w:t>
      </w:r>
    </w:p>
    <w:p>
      <w:pPr>
        <w:pStyle w:val="ListParagraph"/>
        <w:numPr>
          <w:ilvl w:val="0"/>
          <w:numId w:val="3"/>
        </w:numPr>
        <w:spacing w:after="40" w:before="40"/>
      </w:pPr>
      <w:r>
        <w:rPr>
          <w:rFonts w:ascii="Arial" w:cs="Arial" w:eastAsia="Arial" w:hAnsi="Arial"/>
          <w:sz w:val="19"/>
          <w:szCs w:val="19"/>
        </w:rPr>
        <w:t xml:space="preserve">Quali eventi tra quelli descritti (welfare 51 TUIR, fringe benefit, co-funded) hanno payroll_relevance=true? Quali invece non impattano il cedolino e possono essere ignorati nel processo payroll?</w:t>
      </w:r>
    </w:p>
    <w:p>
      <w:pPr>
        <w:pStyle w:val="ListParagraph"/>
        <w:numPr>
          <w:ilvl w:val="0"/>
          <w:numId w:val="3"/>
        </w:numPr>
        <w:spacing w:after="40" w:before="40"/>
      </w:pPr>
      <w:r>
        <w:rPr>
          <w:rFonts w:ascii="Arial" w:cs="Arial" w:eastAsia="Arial" w:hAnsi="Arial"/>
          <w:sz w:val="19"/>
          <w:szCs w:val="19"/>
        </w:rPr>
        <w:t xml:space="preserve">Come gestire operativamente la categoria omogenea nel programma KORA? Quali documenti interni del cliente (accordo sindacale, regolamento aziendale, CCNL) supportano la qualifica?</w:t>
      </w:r>
    </w:p>
    <w:p>
      <w:pPr>
        <w:pStyle w:val="ListParagraph"/>
        <w:numPr>
          <w:ilvl w:val="0"/>
          <w:numId w:val="3"/>
        </w:numPr>
        <w:spacing w:after="40" w:before="40"/>
      </w:pPr>
      <w:r>
        <w:rPr>
          <w:rFonts w:ascii="Arial" w:cs="Arial" w:eastAsia="Arial" w:hAnsi="Arial"/>
          <w:sz w:val="19"/>
          <w:szCs w:val="19"/>
        </w:rPr>
        <w:t xml:space="preserve">Come garantire la non convertibilità in denaro dei benefit welfare? Quali clausole del regolamento welfare aziendale sono indispensabili?</w:t>
      </w:r>
    </w:p>
    <w:p>
      <w:pPr>
        <w:pStyle w:val="ListParagraph"/>
        <w:numPr>
          <w:ilvl w:val="0"/>
          <w:numId w:val="3"/>
        </w:numPr>
        <w:spacing w:after="40" w:before="40"/>
      </w:pPr>
      <w:r>
        <w:rPr>
          <w:rFonts w:ascii="Arial" w:cs="Arial" w:eastAsia="Arial" w:hAnsi="Arial"/>
          <w:sz w:val="19"/>
          <w:szCs w:val="19"/>
        </w:rPr>
        <w:t xml:space="preserve">Come gestire il superamento della soglia fringe benefit nel corso dell'anno? Quali comunicazioni devono avvenire tra KORA, l'azienda e il consulente del lavoro? In quale momento del cedolino va rilevato il superamento?</w:t>
      </w:r>
    </w:p>
    <w:p>
      <w:pPr>
        <w:pStyle w:val="ListParagraph"/>
        <w:numPr>
          <w:ilvl w:val="0"/>
          <w:numId w:val="3"/>
        </w:numPr>
        <w:spacing w:after="40" w:before="40"/>
      </w:pPr>
      <w:r>
        <w:rPr>
          <w:rFonts w:ascii="Arial" w:cs="Arial" w:eastAsia="Arial" w:hAnsi="Arial"/>
          <w:sz w:val="19"/>
          <w:szCs w:val="19"/>
        </w:rPr>
        <w:t xml:space="preserve">Per le erogazioni co-funded: come deve essere riportata nel cedolino la quota personale del lavoratore e quella aziendale?</w:t>
      </w:r>
    </w:p>
    <w:p>
      <w:pPr>
        <w:pStyle w:val="ListParagraph"/>
        <w:numPr>
          <w:ilvl w:val="0"/>
          <w:numId w:val="3"/>
        </w:numPr>
        <w:spacing w:after="40" w:before="40"/>
      </w:pPr>
      <w:r>
        <w:rPr>
          <w:rFonts w:ascii="Arial" w:cs="Arial" w:eastAsia="Arial" w:hAnsi="Arial"/>
          <w:sz w:val="19"/>
          <w:szCs w:val="19"/>
        </w:rPr>
        <w:t xml:space="preserve">In caso di audit ITL/INPS: quali elementi del fascicolo documentale prodotto da KORA sono più utili? Quali potrebbero essere contestati?</w:t>
      </w:r>
    </w:p>
    <w:p>
      <w:pPr>
        <w:spacing w:after="100" w:before="200"/>
      </w:pPr>
      <w:r>
        <w:rPr>
          <w:rFonts w:ascii="Arial" w:cs="Arial" w:eastAsia="Arial" w:hAnsi="Arial"/>
          <w:b/>
          <w:bCs/>
          <w:color w:val="1F3864"/>
          <w:sz w:val="21"/>
          <w:szCs w:val="21"/>
        </w:rPr>
        <w:t xml:space="preserve">19C. Legal advisor PSD2</w:t>
      </w:r>
    </w:p>
    <w:p>
      <w:pPr>
        <w:pStyle w:val="ListParagraph"/>
        <w:numPr>
          <w:ilvl w:val="0"/>
          <w:numId w:val="3"/>
        </w:numPr>
        <w:spacing w:after="40" w:before="40"/>
      </w:pPr>
      <w:r>
        <w:rPr>
          <w:rFonts w:ascii="Arial" w:cs="Arial" w:eastAsia="Arial" w:hAnsi="Arial"/>
          <w:sz w:val="19"/>
          <w:szCs w:val="19"/>
        </w:rPr>
        <w:t xml:space="preserve">Confermi che, nella struttura ibrida con PI partner, KORA non si qualifica come prestatore di servizi di pagamento ai sensi della PSD2 e non richiede autorizzazione? Quali elementi architetturali fondano questa qualifica?</w:t>
      </w:r>
    </w:p>
    <w:p>
      <w:pPr>
        <w:pStyle w:val="ListParagraph"/>
        <w:numPr>
          <w:ilvl w:val="0"/>
          <w:numId w:val="3"/>
        </w:numPr>
        <w:spacing w:after="40" w:before="40"/>
      </w:pPr>
      <w:r>
        <w:rPr>
          <w:rFonts w:ascii="Arial" w:cs="Arial" w:eastAsia="Arial" w:hAnsi="Arial"/>
          <w:sz w:val="19"/>
          <w:szCs w:val="19"/>
        </w:rPr>
        <w:t xml:space="preserve">La struttura contrattuale del SVAM prevede che KORA 'configuri e trasmetta istruzioni tecniche' al PI sulla base delle regole approvate dall'azienda. Questa formulazione esclude la qualifica di payment agent? Quale qualificazione giuridica (prestazione tecnica, mandato, commissione) è più robusta?</w:t>
      </w:r>
    </w:p>
    <w:p>
      <w:pPr>
        <w:pStyle w:val="ListParagraph"/>
        <w:numPr>
          <w:ilvl w:val="0"/>
          <w:numId w:val="3"/>
        </w:numPr>
        <w:spacing w:after="40" w:before="40"/>
      </w:pPr>
      <w:r>
        <w:rPr>
          <w:rFonts w:ascii="Arial" w:cs="Arial" w:eastAsia="Arial" w:hAnsi="Arial"/>
          <w:sz w:val="19"/>
          <w:szCs w:val="19"/>
        </w:rPr>
        <w:t xml:space="preserve">Come va descritta contrattualmente la separazione tra le KORA Fees e il valore dei servizi partner per evitare riqualifica come intermediazione o acquisto-rivendita?</w:t>
      </w:r>
    </w:p>
    <w:p>
      <w:pPr>
        <w:pStyle w:val="ListParagraph"/>
        <w:numPr>
          <w:ilvl w:val="0"/>
          <w:numId w:val="3"/>
        </w:numPr>
        <w:spacing w:after="40" w:before="40"/>
      </w:pPr>
      <w:r>
        <w:rPr>
          <w:rFonts w:ascii="Arial" w:cs="Arial" w:eastAsia="Arial" w:hAnsi="Arial"/>
          <w:sz w:val="19"/>
          <w:szCs w:val="19"/>
        </w:rPr>
        <w:t xml:space="preserve">Le clausole del MSA che limitano la responsabilità di KORA nella classificazione fiscale (disclaimer di non-certificazione fiscale) sono adeguate? Servono clausole di indemnification?</w:t>
      </w:r>
    </w:p>
    <w:p>
      <w:pPr>
        <w:pStyle w:val="ListParagraph"/>
        <w:numPr>
          <w:ilvl w:val="0"/>
          <w:numId w:val="3"/>
        </w:numPr>
        <w:spacing w:after="40" w:before="40"/>
      </w:pPr>
      <w:r>
        <w:rPr>
          <w:rFonts w:ascii="Arial" w:cs="Arial" w:eastAsia="Arial" w:hAnsi="Arial"/>
          <w:sz w:val="19"/>
          <w:szCs w:val="19"/>
        </w:rPr>
        <w:t xml:space="preserve">L'evoluzione PSD3/PSR: quali aspetti del modello KORA potrebbero essere impattati? Quale strategia di review periodica raccomandi?</w:t>
      </w:r>
    </w:p>
    <w:p>
      <w:pPr>
        <w:pStyle w:val="ListParagraph"/>
        <w:numPr>
          <w:ilvl w:val="0"/>
          <w:numId w:val="3"/>
        </w:numPr>
        <w:spacing w:after="40" w:before="40"/>
      </w:pPr>
      <w:r>
        <w:rPr>
          <w:rFonts w:ascii="Arial" w:cs="Arial" w:eastAsia="Arial" w:hAnsi="Arial"/>
          <w:sz w:val="19"/>
          <w:szCs w:val="19"/>
        </w:rPr>
        <w:t xml:space="preserve">Come descrivere KORA ai fini anti-trust nella struttura di network di partner certificati: esclusività, condotta, prezzi consigliati — clausole sicure e clausole rischiose nel Partner Agreement?</w:t>
      </w:r>
    </w:p>
    <w:p>
      <w:pPr>
        <w:spacing w:after="100" w:before="200"/>
      </w:pPr>
      <w:r>
        <w:rPr>
          <w:rFonts w:ascii="Arial" w:cs="Arial" w:eastAsia="Arial" w:hAnsi="Arial"/>
          <w:b/>
          <w:bCs/>
          <w:color w:val="1F3864"/>
          <w:sz w:val="21"/>
          <w:szCs w:val="21"/>
        </w:rPr>
        <w:t xml:space="preserve">19D. DPO / Privacy advisor</w:t>
      </w:r>
    </w:p>
    <w:p>
      <w:pPr>
        <w:pStyle w:val="ListParagraph"/>
        <w:numPr>
          <w:ilvl w:val="0"/>
          <w:numId w:val="3"/>
        </w:numPr>
        <w:spacing w:after="40" w:before="40"/>
      </w:pPr>
      <w:r>
        <w:rPr>
          <w:rFonts w:ascii="Arial" w:cs="Arial" w:eastAsia="Arial" w:hAnsi="Arial"/>
          <w:sz w:val="19"/>
          <w:szCs w:val="19"/>
        </w:rPr>
        <w:t xml:space="preserve">Il Welfare Statement KORA usa pseudonimizzazione del lavoratore. La chiave di de-pseudonimizzazione è in mano al consulente del lavoro del cliente. Questa struttura è conforme al GDPR? Quali clausole nel DPA regolano il de-pseudonimizzato?</w:t>
      </w:r>
    </w:p>
    <w:p>
      <w:pPr>
        <w:pStyle w:val="ListParagraph"/>
        <w:numPr>
          <w:ilvl w:val="0"/>
          <w:numId w:val="3"/>
        </w:numPr>
        <w:spacing w:after="40" w:before="40"/>
      </w:pPr>
      <w:r>
        <w:rPr>
          <w:rFonts w:ascii="Arial" w:cs="Arial" w:eastAsia="Arial" w:hAnsi="Arial"/>
          <w:sz w:val="19"/>
          <w:szCs w:val="19"/>
        </w:rPr>
        <w:t xml:space="preserve">I dati sanitari (sanità integrativa, screening, wellbeing) che transitano nella piattaforma: quali basi giuridiche (GDPR art. 9) sono necessarie? Come strutturare il consenso esplicito del lavoratore?</w:t>
      </w:r>
    </w:p>
    <w:p>
      <w:pPr>
        <w:pStyle w:val="ListParagraph"/>
        <w:numPr>
          <w:ilvl w:val="0"/>
          <w:numId w:val="3"/>
        </w:numPr>
        <w:spacing w:after="40" w:before="40"/>
      </w:pPr>
      <w:r>
        <w:rPr>
          <w:rFonts w:ascii="Arial" w:cs="Arial" w:eastAsia="Arial" w:hAnsi="Arial"/>
          <w:sz w:val="19"/>
          <w:szCs w:val="19"/>
        </w:rPr>
        <w:t xml:space="preserve">La tracciatura dei no-payment events (mentoring interno, volontariato) richiede consenso specifico del lavoratore? Come strutturare la disclosure?</w:t>
      </w:r>
    </w:p>
    <w:p>
      <w:pPr>
        <w:pStyle w:val="ListParagraph"/>
        <w:numPr>
          <w:ilvl w:val="0"/>
          <w:numId w:val="3"/>
        </w:numPr>
        <w:spacing w:after="40" w:before="40"/>
      </w:pPr>
      <w:r>
        <w:rPr>
          <w:rFonts w:ascii="Arial" w:cs="Arial" w:eastAsia="Arial" w:hAnsi="Arial"/>
          <w:sz w:val="19"/>
          <w:szCs w:val="19"/>
        </w:rPr>
        <w:t xml:space="preserve">Per i dati di employee-paid (top-up personale): KORA è titolare diretto del trattamento (rapporto B2C). Quali obblighi ne derivano per Privacy Policy, retention, diritti degli interessati?</w:t>
      </w:r>
    </w:p>
    <w:p>
      <w:pPr>
        <w:pStyle w:val="ListParagraph"/>
        <w:numPr>
          <w:ilvl w:val="0"/>
          <w:numId w:val="3"/>
        </w:numPr>
        <w:spacing w:after="40" w:before="40"/>
      </w:pPr>
      <w:r>
        <w:rPr>
          <w:rFonts w:ascii="Arial" w:cs="Arial" w:eastAsia="Arial" w:hAnsi="Arial"/>
          <w:sz w:val="19"/>
          <w:szCs w:val="19"/>
        </w:rPr>
        <w:t xml:space="preserve">DPIA strutturata: quali trattamenti del modello KORA presentano i rischi più elevati? Con quale periodicità va aggiornata?</w:t>
      </w:r>
    </w:p>
    <w:p>
      <w:pPr>
        <w:pStyle w:val="ListParagraph"/>
        <w:numPr>
          <w:ilvl w:val="0"/>
          <w:numId w:val="3"/>
        </w:numPr>
        <w:spacing w:after="40" w:before="40"/>
      </w:pPr>
      <w:r>
        <w:rPr>
          <w:rFonts w:ascii="Arial" w:cs="Arial" w:eastAsia="Arial" w:hAnsi="Arial"/>
          <w:sz w:val="19"/>
          <w:szCs w:val="19"/>
        </w:rPr>
        <w:t xml:space="preserve">I trasferimenti di dati extra-UE (Stripe USA, eventuali HRIS USA): SCC + Trans-Atlantic Data Privacy Framework sono sufficienti? Misure complementari raccomandate?</w:t>
      </w:r>
    </w:p>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20. Implementation Checklist — before Go-Live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300"/>
        <w:gridCol w:w="3200"/>
      </w:tblGrid>
      <w:tr>
        <w:tc>
          <w:tcPr>
            <w:tcW w:type="dxa" w:w="3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Voce checklist</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Priorità</w:t>
            </w:r>
          </w:p>
        </w:tc>
        <w:tc>
          <w:tcPr>
            <w:tcW w:type="dxa" w:w="13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Stato</w:t>
            </w:r>
          </w:p>
        </w:tc>
        <w:tc>
          <w:tcPr>
            <w:tcW w:type="dxa" w:w="3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Parere commercialista welfare (SVAM, FUO, categorie fiscali, piano dei conti)</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Costo orientativo: €5.000–10.000. Tempistica: 6–10 settimane.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Parere consulente del lavoro (art. 51 TUIR, categoria omogenea, payroll integration)</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Costo orientativo: €1.500–3.000. Tempistica: 3–4 settimane.</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Parere legal advisor PSD2 (qualifica KORA, clausole MSA, struttura mandato)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Costo orientativo: €5.000–10.000. Tempistica: 4–6 settimane.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DPIA + designazione DPO + registro trattamenti</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Costo orientativo: €8.000–15.000 setup + €4.000–8.000/anno DPO.</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Piano dei conti KORA su misura (validato da commercialista)</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Include conti d'ordine FUO, classi revenue KORA, conti costi.</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Istituto di pagamento partner selezionato e onboardato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Tempistica onboarding: 8–16 settimane. Avviare contestualmente ai pareri.</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Escrow segregato per cliente testato end-to-end</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Test con dati simulati prima del primo cliente reale.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KYC/AML completato per tutti i partner del primo pilot</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Pianificare 2–8 settimane per partner. Avviare parallelamente.</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MSA + DPA + SLA template validato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Review da commercialista + legal advisor. Versione definitiva prima della firma.</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Partner Agreement + DPA + Code of Conduct template validato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Include clausola di fatturazione (variante A/B/C scelta e validata).</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Fiscal Guardrails configurato per il programma welfare del primo cliente</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CRITICA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Incluse: categorie, plafond, soglia fringe, partner abilitati, documenti.</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Welfare Statement formato payroll-ready testato con consulente del lavoro del cliente</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Test di integrazione payroll obbligatorio prima del go-live.</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SVAM test end-to-end con dati simulati</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Simulazione completa: budget → escrow → prenotazione → payout → welfare statement.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Accounting dry run: primo mese simulato con il commercialista</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Verifica del piano dei conti nella pratica operativa.</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Audit trail verification: fascicolo documentale di test prodotto in 5 gg</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Test della produzione del fascicolo documentale completo.</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Assicurazioni: RC professionale + cyber + D&amp;O attive</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Costo orientativo: €5.000–15.000/anno.</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Marchio KORA registrato UIBM + EUIPO</w:t>
            </w:r>
          </w:p>
        </w:tc>
        <w:tc>
          <w:tcPr>
            <w:tcW w:type="dxa" w:w="12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MEDIA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Costo orientativo: €1.500–3.500.</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Template Advisor Engagement Agreement validato</w:t>
            </w:r>
          </w:p>
        </w:tc>
        <w:tc>
          <w:tcPr>
            <w:tcW w:type="dxa" w:w="12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MEDIA</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Include clausole IP, non-concorrenza, equity advisor pool se previsto.</w:t>
            </w:r>
          </w:p>
        </w:tc>
      </w:tr>
      <w:tr>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4"/>
                <w:szCs w:val="14"/>
              </w:rPr>
              <w:t xml:space="preserve">Review annuale fringe threshold: processo concordato con consulente del lavoro</w:t>
            </w:r>
          </w:p>
        </w:tc>
        <w:tc>
          <w:tcPr>
            <w:tcW w:type="dxa" w:w="1200"/>
            <w:gridSpan w:val="1"/>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vAlign w:val="top"/>
          </w:tcPr>
          <w:p>
            <w:pPr>
              <w:spacing w:after="0" w:before="0"/>
              <w:jc w:val="left"/>
            </w:pPr>
            <w:r>
              <w:rPr>
                <w:rFonts w:ascii="Arial" w:cs="Arial" w:eastAsia="Arial" w:hAnsi="Arial"/>
                <w:b/>
                <w:bCs/>
                <w:color w:val="7F6000"/>
                <w:sz w:val="13"/>
                <w:szCs w:val="13"/>
              </w:rPr>
              <w:t xml:space="preserve">ALTA</w:t>
            </w:r>
          </w:p>
        </w:tc>
        <w:tc>
          <w:tcPr>
            <w:tcW w:type="dxa" w:w="13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FF8C00"/>
                <w:sz w:val="13"/>
                <w:szCs w:val="13"/>
              </w:rPr>
              <w:t xml:space="preserve">Da completare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Entro gennaio di ogni anno. Formalizzare con contratto o lettera.</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21. Financial Claim Discipline</w:t>
      </w:r>
    </w:p>
    <w:p>
      <w:pPr>
        <w:spacing w:after="80" w:before="60"/>
        <w:jc w:val="both"/>
      </w:pPr>
      <w:r>
        <w:rPr>
          <w:rFonts w:ascii="Arial" w:cs="Arial" w:eastAsia="Arial" w:hAnsi="Arial"/>
          <w:sz w:val="20"/>
          <w:szCs w:val="20"/>
        </w:rPr>
        <w:t xml:space="preserve">Questa sezione definisce le regole di comunicazione finanziaria che devono essere rispettate in tutti i materiali di KORA: investor pitch, press release, materiali commerciali, conversazioni con advisor. La disciplina narrativa è disciplina di compliance e di valore simultaneamente.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gridSpan w:val="1"/>
            <w:tcBorders>
              <w:top w:val="single" w:color="335EA8" w:sz="1"/>
              <w:left w:val="single" w:color="335EA8" w:sz="1"/>
              <w:bottom w:val="single" w:color="335EA8" w:sz="1"/>
              <w:right w:val="single" w:color="335EA8" w:sz="1"/>
            </w:tcBorders>
            <w:shd w:fill="FCE4D6"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Claim VIETATO</w:t>
            </w:r>
          </w:p>
        </w:tc>
        <w:tc>
          <w:tcPr>
            <w:tcW w:type="dxa" w:w="5000"/>
            <w:gridSpan w:val="1"/>
            <w:tcBorders>
              <w:top w:val="single" w:color="335EA8" w:sz="1"/>
              <w:left w:val="single" w:color="335EA8" w:sz="1"/>
              <w:bottom w:val="single" w:color="335EA8" w:sz="1"/>
              <w:right w:val="single" w:color="335EA8" w:sz="1"/>
            </w:tcBorders>
            <w:shd w:fill="E2EFDA"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Claim CORRETTO</w:t>
            </w:r>
          </w:p>
        </w:tc>
      </w:tr>
      <w:tr>
        <w:tc>
          <w:tcPr>
            <w:tcW w:type="dxa" w:w="45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gestisce X M€ di welfare budget."</w:t>
            </w:r>
          </w:p>
        </w:tc>
        <w:tc>
          <w:tcPr>
            <w:tcW w:type="dxa" w:w="50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orchestra e rendiconta X M€ di Funds Under Orchestration tramite istituto di pagamento terzo; i ricavi KORA sono le KORA Fees."</w:t>
            </w:r>
          </w:p>
        </w:tc>
      </w:tr>
      <w:tr>
        <w:tc>
          <w:tcPr>
            <w:tcW w:type="dxa" w:w="4500"/>
            <w:gridSpan w:val="1"/>
            <w:tcBorders>
              <w:top w:val="single" w:color="CCCCCC" w:sz="1"/>
              <w:left w:val="single" w:color="CCCCCC" w:sz="1"/>
              <w:bottom w:val="single" w:color="CCCCCC" w:sz="1"/>
              <w:right w:val="single" w:color="CCCCCC" w:sz="1"/>
            </w:tcBorders>
            <w:shd w:fill="FCF5E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ha un fatturato / GMV di X M€" (usando FUO come fatturato)</w:t>
            </w:r>
          </w:p>
        </w:tc>
        <w:tc>
          <w:tcPr>
            <w:tcW w:type="dxa" w:w="5000"/>
            <w:gridSpan w:val="1"/>
            <w:tcBorders>
              <w:top w:val="single" w:color="CCCCCC" w:sz="1"/>
              <w:left w:val="single" w:color="CCCCCC" w:sz="1"/>
              <w:bottom w:val="single" w:color="CCCCCC" w:sz="1"/>
              <w:right w:val="single" w:color="CCCCCC" w:sz="1"/>
            </w:tcBorders>
            <w:shd w:fill="F2FAF0"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ha un ARR di X€; i FUO orchestrati ammontano a Y M€ (metrica di scala, non revenue)."</w:t>
            </w:r>
          </w:p>
        </w:tc>
      </w:tr>
      <w:tr>
        <w:tc>
          <w:tcPr>
            <w:tcW w:type="dxa" w:w="45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certifica il trattamento fiscale del welfare."</w:t>
            </w:r>
          </w:p>
        </w:tc>
        <w:tc>
          <w:tcPr>
            <w:tcW w:type="dxa" w:w="50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applica i controlli configurati dall'azienda e validati dai suoi advisor. Non certifica il trattamento tributario."</w:t>
            </w:r>
          </w:p>
        </w:tc>
      </w:tr>
      <w:tr>
        <w:tc>
          <w:tcPr>
            <w:tcW w:type="dxa" w:w="4500"/>
            <w:gridSpan w:val="1"/>
            <w:tcBorders>
              <w:top w:val="single" w:color="CCCCCC" w:sz="1"/>
              <w:left w:val="single" w:color="CCCCCC" w:sz="1"/>
              <w:bottom w:val="single" w:color="CCCCCC" w:sz="1"/>
              <w:right w:val="single" w:color="CCCCCC" w:sz="1"/>
            </w:tcBorders>
            <w:shd w:fill="FCF5E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è il welfare provider" (senza validazione).</w:t>
            </w:r>
          </w:p>
        </w:tc>
        <w:tc>
          <w:tcPr>
            <w:tcW w:type="dxa" w:w="5000"/>
            <w:gridSpan w:val="1"/>
            <w:tcBorders>
              <w:top w:val="single" w:color="CCCCCC" w:sz="1"/>
              <w:left w:val="single" w:color="CCCCCC" w:sz="1"/>
              <w:bottom w:val="single" w:color="CCCCCC" w:sz="1"/>
              <w:right w:val="single" w:color="CCCCCC" w:sz="1"/>
            </w:tcBorders>
            <w:shd w:fill="F2FAF0"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è un program operator e centralizzatore amministrativo che orchestra programmi welfare. Non è un welfare provider tradizionale."</w:t>
            </w:r>
          </w:p>
        </w:tc>
      </w:tr>
      <w:tr>
        <w:tc>
          <w:tcPr>
            <w:tcW w:type="dxa" w:w="45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incassa il budget welfare e lo redistribuisce."</w:t>
            </w:r>
          </w:p>
        </w:tc>
        <w:tc>
          <w:tcPr>
            <w:tcW w:type="dxa" w:w="50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"Il budget welfare è custodito presso l'istituto di pagamento partner in escrow segregato; KORA non lo incassa né lo redistribuisce."</w:t>
            </w:r>
          </w:p>
        </w:tc>
      </w:tr>
      <w:tr>
        <w:tc>
          <w:tcPr>
            <w:tcW w:type="dxa" w:w="4500"/>
            <w:gridSpan w:val="1"/>
            <w:tcBorders>
              <w:top w:val="single" w:color="CCCCCC" w:sz="1"/>
              <w:left w:val="single" w:color="CCCCCC" w:sz="1"/>
              <w:bottom w:val="single" w:color="CCCCCC" w:sz="1"/>
              <w:right w:val="single" w:color="CCCCCC" w:sz="1"/>
            </w:tcBorders>
            <w:shd w:fill="FCF5E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"La nostra orchestration fee è una take-rate sul transato."</w:t>
            </w:r>
          </w:p>
        </w:tc>
        <w:tc>
          <w:tcPr>
            <w:tcW w:type="dxa" w:w="5000"/>
            <w:gridSpan w:val="1"/>
            <w:tcBorders>
              <w:top w:val="single" w:color="CCCCCC" w:sz="1"/>
              <w:left w:val="single" w:color="CCCCCC" w:sz="1"/>
              <w:bottom w:val="single" w:color="CCCCCC" w:sz="1"/>
              <w:right w:val="single" w:color="CCCCCC" w:sz="1"/>
            </w:tcBorders>
            <w:shd w:fill="F2FAF0"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"L'orchestration fee è una fee flat mensile (o variabile su effort KORA, non su transato FUO) per il ruolo di program operator."</w:t>
            </w:r>
          </w:p>
        </w:tc>
      </w:tr>
      <w:tr>
        <w:tc>
          <w:tcPr>
            <w:tcW w:type="dxa" w:w="45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sostituisce il consulente del lavoro."</w:t>
            </w:r>
          </w:p>
        </w:tc>
        <w:tc>
          <w:tcPr>
            <w:tcW w:type="dxa" w:w="50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produce il Welfare Statement payroll-ready a supporto del consulente del lavoro del cliente, senza sostituirlo."</w:t>
            </w:r>
          </w:p>
        </w:tc>
      </w:tr>
      <w:tr>
        <w:tc>
          <w:tcPr>
            <w:tcW w:type="dxa" w:w="4500"/>
            <w:gridSpan w:val="1"/>
            <w:tcBorders>
              <w:top w:val="single" w:color="CCCCCC" w:sz="1"/>
              <w:left w:val="single" w:color="CCCCCC" w:sz="1"/>
              <w:bottom w:val="single" w:color="CCCCCC" w:sz="1"/>
              <w:right w:val="single" w:color="CCCCCC" w:sz="1"/>
            </w:tcBorders>
            <w:shd w:fill="FCF5EF"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"KORA gestisce i pagamenti."</w:t>
            </w:r>
          </w:p>
        </w:tc>
        <w:tc>
          <w:tcPr>
            <w:tcW w:type="dxa" w:w="5000"/>
            <w:gridSpan w:val="1"/>
            <w:tcBorders>
              <w:top w:val="single" w:color="CCCCCC" w:sz="1"/>
              <w:left w:val="single" w:color="CCCCCC" w:sz="1"/>
              <w:bottom w:val="single" w:color="CCCCCC" w:sz="1"/>
              <w:right w:val="single" w:color="CCCCCC" w:sz="1"/>
            </w:tcBorders>
            <w:shd w:fill="F2FAF0"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"L'istituto di pagamento partner gestisce i pagamenti. KORA invia istruzioni tecniche configurate sulla base delle regole del cliente."</w:t>
            </w:r>
          </w:p>
        </w:tc>
      </w:tr>
      <w:tr>
        <w:tc>
          <w:tcPr>
            <w:tcW w:type="dxa" w:w="4500"/>
            <w:gridSpan w:val="1"/>
            <w:tcBorders>
              <w:top w:val="single" w:color="CCCCCC" w:sz="1"/>
              <w:left w:val="single" w:color="CCCCCC" w:sz="1"/>
              <w:bottom w:val="single" w:color="CCCCCC" w:sz="1"/>
              <w:right w:val="single" w:color="CCCCCC" w:sz="1"/>
            </w:tcBorders>
            <w:shd w:fill="FCE4D6" w:val="clear"/>
            <w:tcMar>
              <w:top w:type="dxa" w:w="60"/>
              <w:left w:type="dxa" w:w="110"/>
              <w:bottom w:type="dxa" w:w="60"/>
              <w:right w:type="dxa" w:w="110"/>
            </w:tcMar>
            <w:vAlign w:val="top"/>
          </w:tcPr>
          <w:p>
            <w:pPr>
              <w:spacing w:after="0" w:before="0"/>
              <w:jc w:val="left"/>
            </w:pPr>
            <w:r>
              <w:rPr>
                <w:rFonts w:ascii="Arial" w:cs="Arial" w:eastAsia="Arial" w:hAnsi="Arial"/>
                <w:i/>
                <w:iCs/>
                <w:color w:val="C00000"/>
                <w:sz w:val="14"/>
                <w:szCs w:val="14"/>
              </w:rPr>
              <w:t xml:space="preserve">"Tutti i flussi sono welfare aziendale."</w:t>
            </w:r>
          </w:p>
        </w:tc>
        <w:tc>
          <w:tcPr>
            <w:tcW w:type="dxa" w:w="5000"/>
            <w:gridSpan w:val="1"/>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"KORA tratta nove categorie fiscali distinte; solo alcune sono welfare ex art. 51 TUIR. La classificazione è dichiarata dall'azienda e validata dai suoi advisor."</w:t>
            </w:r>
          </w:p>
        </w:tc>
      </w:tr>
    </w:tbl>
    <w:p>
      <w:pPr>
        <w:spacing w:after="60" w:before="60"/>
        <w:jc w:val="both"/>
      </w:pPr>
      <w:r>
        <w:rPr>
          <w:rFonts w:ascii="Arial" w:cs="Arial" w:eastAsia="Arial" w:hAnsi="Arial"/>
          <w:sz w:val="20"/>
          <w:szCs w:val="20"/>
        </w:rPr>
        <w:t xml:space="preserve"/>
      </w:r>
    </w:p>
    <w:p>
      <w:pPr>
        <w:pBdr>
          <w:bottom w:val="single" w:color="2E75B6" w:sz="6" w:space="1"/>
        </w:pBdr>
        <w:spacing w:after="200" w:before="400"/>
      </w:pPr>
      <w:r>
        <w:rPr>
          <w:rFonts w:ascii="Arial" w:cs="Arial" w:eastAsia="Arial" w:hAnsi="Arial"/>
          <w:b/>
          <w:bCs/>
          <w:color w:val="1F3864"/>
          <w:sz w:val="30"/>
          <w:szCs w:val="30"/>
        </w:rPr>
        <w:t xml:space="preserve">22. Conclusione</w:t>
      </w:r>
    </w:p>
    <w:p>
      <w:pPr>
        <w:spacing w:after="80" w:before="60"/>
        <w:jc w:val="both"/>
      </w:pPr>
      <w:r>
        <w:rPr>
          <w:rFonts w:ascii="Arial" w:cs="Arial" w:eastAsia="Arial" w:hAnsi="Arial"/>
          <w:sz w:val="20"/>
          <w:szCs w:val="20"/>
        </w:rPr>
        <w:t xml:space="preserve">KORA è economicamente sostenibile se mantiene rigorosamente separati i ricavi propri dai fondi di terzi. Questa separazione non è un elemento burocratico: è l'architettura che rende il modello fiscalmente difendibile, regolatorialmente sicuro e credibile in due diligence con investitori istituzionali.</w:t>
      </w:r>
    </w:p>
    <w:p>
      <w:pPr>
        <w:spacing w:after="80" w:before="60"/>
        <w:jc w:val="both"/>
      </w:pPr>
      <w:r>
        <w:rPr>
          <w:rFonts w:ascii="Arial" w:cs="Arial" w:eastAsia="Arial" w:hAnsi="Arial"/>
          <w:sz w:val="20"/>
          <w:szCs w:val="20"/>
        </w:rPr>
        <w:t xml:space="preserve">Il Single Vendor Administrative Model è essenziale per la scalabilità enterprise: senza di esso, l'adozione da parte di clienti con uffici acquisti strutturati è strutturalmente bloccata dal burden procurement. Con esso, KORA diventa un fornitore enterprise-grade con un'architettura di procurement che i CFO possono accettare e i team legali possono validare.</w:t>
      </w:r>
    </w:p>
    <w:p>
      <w:pPr>
        <w:spacing w:after="80" w:before="60"/>
        <w:jc w:val="both"/>
      </w:pPr>
      <w:r>
        <w:rPr>
          <w:rFonts w:ascii="Arial" w:cs="Arial" w:eastAsia="Arial" w:hAnsi="Arial"/>
          <w:sz w:val="20"/>
          <w:szCs w:val="20"/>
        </w:rPr>
        <w:t xml:space="preserve">Il Fiscal Guardrails Engine trasforma KORA da piattaforma passiva a sistema di controllo attivo: non sostituisce i consulenti del cliente, implementa le regole che i consulenti hanno validato, e produce la documentazione probatoria che serve in caso di accertamento. Questo è uno degli asset di prodotto più difendibili del modello.</w:t>
      </w:r>
    </w:p>
    <w:p>
      <w:pPr>
        <w:spacing w:after="80" w:before="60"/>
        <w:jc w:val="both"/>
      </w:pPr>
      <w:r>
        <w:rPr>
          <w:rFonts w:ascii="Arial" w:cs="Arial" w:eastAsia="Arial" w:hAnsi="Arial"/>
          <w:sz w:val="20"/>
          <w:szCs w:val="20"/>
        </w:rPr>
        <w:t xml:space="preserve">La crescita economica di KORA deriva da software, governance, reporting, partner network e advisor network — non dal possesso o dal transito dei fondi. Il fatturato KORA è strutturalmente più piccolo del transato orchestrato, e questa proporzione è la firma di un modello con disciplina fiscale e ambizione di scala, non una debolezza.</w:t>
      </w:r>
    </w:p>
    <w:p>
      <w:pPr>
        <w:spacing w:after="80" w:before="60"/>
        <w:jc w:val="both"/>
      </w:pPr>
      <w:r>
        <w:rPr>
          <w:rFonts w:ascii="Arial" w:cs="Arial" w:eastAsia="Arial" w:hAnsi="Arial"/>
          <w:sz w:val="20"/>
          <w:szCs w:val="20"/>
        </w:rPr>
        <w:t xml:space="preserve">Nessun aspetto del modello descritto in questo documento deve essere messo in produzione prima che le validazioni professionali obbligatorie (commercialista welfare, consulente del lavoro, legal advisor PSD2, DPO) abbiano prodotto pareri scritti, firmati e datati, conservati come documenti master per ogni futura due diligence.</w:t>
      </w:r>
    </w:p>
    <w:p>
      <w:pPr>
        <w:spacing w:after="60" w:before="60"/>
        <w:jc w:val="both"/>
      </w:pPr>
      <w:r>
        <w:rPr>
          <w:rFonts w:ascii="Arial" w:cs="Arial" w:eastAsia="Arial" w:hAnsi="Arial"/>
          <w:sz w:val="20"/>
          <w:szCs w:val="20"/>
        </w:rPr>
        <w:t xml:space="preserve"/>
      </w:r>
    </w:p>
    <w:p>
      <w:r>
        <w:br w:type="page"/>
      </w:r>
    </w:p>
    <w:p>
      <w:pPr>
        <w:pBdr>
          <w:bottom w:val="single" w:color="2E75B6" w:sz="6" w:space="1"/>
        </w:pBdr>
        <w:spacing w:after="200" w:before="400"/>
      </w:pPr>
      <w:r>
        <w:rPr>
          <w:rFonts w:ascii="Arial" w:cs="Arial" w:eastAsia="Arial" w:hAnsi="Arial"/>
          <w:b/>
          <w:bCs/>
          <w:color w:val="1F3864"/>
          <w:sz w:val="30"/>
          <w:szCs w:val="30"/>
        </w:rPr>
        <w:t xml:space="preserve">Appendici</w:t>
      </w:r>
    </w:p>
    <w:p>
      <w:pPr>
        <w:spacing w:after="120" w:before="300"/>
      </w:pPr>
      <w:r>
        <w:rPr>
          <w:rFonts w:ascii="Arial" w:cs="Arial" w:eastAsia="Arial" w:hAnsi="Arial"/>
          <w:b/>
          <w:bCs/>
          <w:color w:val="2E75B6"/>
          <w:sz w:val="24"/>
          <w:szCs w:val="24"/>
        </w:rPr>
        <w:t xml:space="preserve">Appendice A — Glossario economico-finanziario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c>
          <w:tcPr>
            <w:tcW w:type="dxa" w:w="19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Termine</w:t>
            </w:r>
          </w:p>
        </w:tc>
        <w:tc>
          <w:tcPr>
            <w:tcW w:type="dxa" w:w="76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Definizione operativa</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ARR</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Annual Recurring Revenue. MRR × 12. Misura il ricavo ricorrente proiettato annualmente sui soli ricavi propri KORA. Mai include FUO.</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ARPA</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Average Revenue Per Account annuo. Revenue KORA / numero clienti attivi medi. Esclude FUO.</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Audit trail</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Registro immodificabile (append-only) delle operazioni KORA, conservato 10 anni per finalità di auditabilità fiscale, contributiva e contrattuale.</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Categoria omogenea</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Insieme di lavoratori del cliente accomunati da criteri oggettivi (livello, sede, area funzionale) ai quali si applica un programma welfare unificato. Requisito art. 51 TUIR.</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Co-funded</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Flusso finanziato in parte dall'azienda (FUO company-funded) e in parte dal lavoratore (FUO worker-funded). I due flussi sono separati nell'istituto di pagamento.</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Conti d'ordine</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Conti che registrano operazioni non aventi immediato riflesso sul patrimonio netto (classe 90). I FUO sono iscritti in conti d'ordine, non nel CE.</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Fiscal Guardrails Engine</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Componente software KORA che applica controlli fiscali e operativi in real-time prima di ogni transazione. Fail-safe: in caso di dubbio, blocca.</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FUO — Funds Under Orchestration</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Fondi di terzi orchestrati dalla piattaforma KORA (budget welfare aziendali + top-up personali) custoditi presso l'istituto di pagamento partner. Non sono ricavi KORA.</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Gross margin software</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(Revenue subscription SaaS - costi diretti SaaS) / Revenue subscription SaaS. Target KORA a regime: 78–85%.</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KIP — KORA Impact Pledge</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Impegno dell'azienda verso un progetto territoriale. Flusso diretto azienda → progetto, fuori dall'infrastruttura KORA. KORA traccia solo commitment e impatto dichiarato.</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KORA Fees</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Sinonimo di Revenue KORA. Ricavi propri: subscription, setup, management fee, orchestration fee, certification, reporting, service fee top-up. Unica grandezza che transita nel CE KORA.</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KORA Index</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Indice composito di impatto del capitale umano calcolato su 5 pilastri (LIFE, GROWTH, CONNECTION, IMPACT, LEGACY). Metrica di output, non finanziaria.</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MRR</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Monthly Recurring Revenue. Ricavo mensile ricorrente da subscription attive. Esclude setup, una tantum, FUO.</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NRR</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Net Revenue Retention. ARR end-of-period dei clienti esistenti / ARR start-of-period. Target: &gt;110%. Si calcola su Revenue KORA.</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Partner Payouts</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Pagamenti dall'istituto di pagamento partner verso i partner certificati per servizi erogati ai lavoratori. Lato passivo dei FUO. Non transitano dal CE KORA.</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Program Operator</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Ruolo di KORA nell'orchestrazione dei programmi welfare. Non è datore di lavoro, non è intermediario finanziario, non è consulente fiscale.</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PSD2</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Direttiva UE 2015/2366 sui servizi di pagamento. Recepita in Italia con D.Lgs. 218/2017. KORA non è soggetto regolato ai sensi della PSD2 nella configurazione SVAM.</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SVAM — Single Vendor Administrative Model</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Architettura in cui KORA è l'unica interfaccia amministrativa dell'azienda per il programma welfare. Risolve il problema del burden procurement enterprise.</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tax_treatment_status</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Campo del modello dati KORA che indica lo status del trattamento fiscale di una categoria: agevolato_51tuir | agevolato_entro_soglia | non_agevolato | da_validare | fuori_perimetro.</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TUIR art. 51</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Testo Unico delle Imposte sui Redditi, art. 51. Disciplina il reddito di lavoro dipendente. Il c.2 elenca i benefit esclusi dal reddito (welfare agevolato). Il c.3 disciplina la soglia fringe benefit.</w:t>
            </w:r>
          </w:p>
        </w:tc>
      </w:tr>
      <w:tr>
        <w:tc>
          <w:tcPr>
            <w:tcW w:type="dxa" w:w="19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Verified Action</w:t>
            </w:r>
          </w:p>
        </w:tc>
        <w:tc>
          <w:tcPr>
            <w:tcW w:type="dxa" w:w="76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Unità di dato KORA: azione concreta del lavoratore attestata, classificata e contestualizzata. Contribuisce al KORA Index. Può essere payment o no-payment.</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4"/>
                <w:szCs w:val="14"/>
              </w:rPr>
              <w:t xml:space="preserve">Welfare Statement</w:t>
            </w:r>
          </w:p>
        </w:tc>
        <w:tc>
          <w:tcPr>
            <w:tcW w:type="dxa" w:w="76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4"/>
                <w:szCs w:val="14"/>
              </w:rPr>
              <w:t xml:space="preserve">Documento di rendicontazione mensile prodotto da KORA per il cliente, in formato payroll-ready per il consulente del lavoro. Non è parere fiscale autonomo.</w:t>
            </w:r>
          </w:p>
        </w:tc>
      </w:tr>
    </w:tbl>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B — Piano dei conti suggerito (summary)</w:t>
      </w:r>
    </w:p>
    <w:p>
      <w:pPr>
        <w:spacing w:after="80" w:before="60"/>
        <w:jc w:val="both"/>
      </w:pPr>
      <w:r>
        <w:rPr>
          <w:rFonts w:ascii="Arial" w:cs="Arial" w:eastAsia="Arial" w:hAnsi="Arial"/>
          <w:sz w:val="20"/>
          <w:szCs w:val="20"/>
        </w:rPr>
        <w:t xml:space="preserve">Il piano dei conti completo deve essere costruito con il commercialista di KORA. Questa tabella è un framework di riferimento.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800"/>
        <w:gridCol w:w="4000"/>
      </w:tblGrid>
      <w:tr>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Conto</w:t>
            </w:r>
          </w:p>
        </w:tc>
        <w:tc>
          <w:tcPr>
            <w:tcW w:type="dxa" w:w="24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Nome</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Natura</w:t>
            </w:r>
          </w:p>
        </w:tc>
        <w:tc>
          <w:tcPr>
            <w:tcW w:type="dxa" w:w="8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→CE?</w:t>
            </w:r>
          </w:p>
        </w:tc>
        <w:tc>
          <w:tcPr>
            <w:tcW w:type="dxa" w:w="4000"/>
            <w:gridSpan w:val="1"/>
            <w:tcBorders>
              <w:top w:val="single" w:color="335EA8" w:sz="1"/>
              <w:left w:val="single" w:color="335EA8" w:sz="1"/>
              <w:bottom w:val="single" w:color="335EA8" w:sz="1"/>
              <w:right w:val="single" w:color="335EA8" w:sz="1"/>
            </w:tcBorders>
            <w:shd w:fill="1F3864" w:val="clear"/>
            <w:tcMar>
              <w:top w:type="dxa" w:w="70"/>
              <w:left w:type="dxa" w:w="110"/>
              <w:bottom w:type="dxa" w:w="70"/>
              <w:right w:type="dxa" w:w="110"/>
            </w:tcMar>
            <w:vAlign w:val="center"/>
          </w:tcPr>
          <w:p>
            <w:pPr>
              <w:spacing w:after="0" w:before="0"/>
              <w:jc w:val="both"/>
            </w:pPr>
            <w:r>
              <w:rPr>
                <w:rFonts w:ascii="Arial" w:cs="Arial" w:eastAsia="Arial" w:hAnsi="Arial"/>
                <w:b/>
                <w:bCs/>
                <w:color w:val="FFFFFF"/>
                <w:sz w:val="16"/>
                <w:szCs w:val="16"/>
              </w:rPr>
              <w:t xml:space="preserve">Note</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70.01–11.x</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Ricavi propri KORA (subscription, fee, setup, reporting, top-up)</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Ricavo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SÌ</w:t>
            </w:r>
          </w:p>
        </w:tc>
        <w:tc>
          <w:tcPr>
            <w:tcW w:type="dxa" w:w="4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Classi distinte per natura. Base per calcolo ARR e MRR.</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60.x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Costi per servizi (cloud, PI, Stripe, advisor, compliance, legal)</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Costo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SÌ</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Include commissioni PI variabili (COGS variabile).</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65.x</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Costi del personale (stipendi, oneri, TFR)</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Costo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SÌ</w:t>
            </w:r>
          </w:p>
        </w:tc>
        <w:tc>
          <w:tcPr>
            <w:tcW w:type="dxa" w:w="4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Principale voce di costo fisso nei primi anni.</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67.x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Oneri finanziari</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Costo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SÌ</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Bassa rilevanza in fase early.</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68.x</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Ammortamenti (software capitalizzato, hardware)</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Costo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375623"/>
                <w:sz w:val="13"/>
                <w:szCs w:val="13"/>
              </w:rPr>
              <w:t xml:space="preserve">SÌ</w:t>
            </w:r>
          </w:p>
        </w:tc>
        <w:tc>
          <w:tcPr>
            <w:tcW w:type="dxa" w:w="4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Software sviluppato internamente può essere capitalizzato e ammortizzato.</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90.01–04.x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FUO company-funded (per categoria e per cliente)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Partita di giro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NO</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Separati per tipo (welfare, fringe, HR, co-funded).</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90.05.x</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FUO worker-funded (sub-wallet per lavoratore)</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Partita di giro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NO</w:t>
            </w:r>
          </w:p>
        </w:tc>
        <w:tc>
          <w:tcPr>
            <w:tcW w:type="dxa" w:w="4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Separato dai FUO aziendali.</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90.06.x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Partner Payouts dispositi</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Passivo OO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NO</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Lato passivo dei FUO.</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90.07–08.x</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Riaddebiti SVAM / documenti partner in variante A/B</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Tecnico/transito</w:t>
            </w:r>
          </w:p>
        </w:tc>
        <w:tc>
          <w:tcPr>
            <w:tcW w:type="dxa" w:w="8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NO</w:t>
            </w:r>
          </w:p>
        </w:tc>
        <w:tc>
          <w:tcPr>
            <w:tcW w:type="dxa" w:w="4000"/>
            <w:gridSpan w:val="1"/>
            <w:tcBorders>
              <w:top w:val="single" w:color="CCCCCC" w:sz="1"/>
              <w:left w:val="single" w:color="CCCCCC" w:sz="1"/>
              <w:bottom w:val="single" w:color="CCCCCC" w:sz="1"/>
              <w:right w:val="single" w:color="CCCCCC" w:sz="1"/>
            </w:tcBorders>
            <w:shd w:fill="EBF0FA"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Struttura da validare con commercialista.</w:t>
            </w:r>
          </w:p>
        </w:tc>
      </w:tr>
      <w:tr>
        <w:tc>
          <w:tcPr>
            <w:tcW w:type="dxa" w:w="11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3"/>
                <w:szCs w:val="13"/>
              </w:rPr>
              <w:t xml:space="preserve">90.09.x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3"/>
                <w:szCs w:val="13"/>
              </w:rPr>
              <w:t xml:space="preserve">KIP commitment tracking (se solo rendicontato)</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color w:val="000000"/>
                <w:sz w:val="13"/>
                <w:szCs w:val="13"/>
              </w:rPr>
              <w:t xml:space="preserve">Solo tracking</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3"/>
                <w:szCs w:val="13"/>
              </w:rPr>
              <w:t xml:space="preserve">NO</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top"/>
          </w:tcPr>
          <w:p>
            <w:pPr>
              <w:spacing w:after="0" w:before="0"/>
              <w:jc w:val="left"/>
            </w:pPr>
            <w:r>
              <w:rPr>
                <w:rFonts w:ascii="Arial" w:cs="Arial" w:eastAsia="Arial" w:hAnsi="Arial"/>
                <w:i/>
                <w:iCs/>
                <w:color w:val="000000"/>
                <w:sz w:val="13"/>
                <w:szCs w:val="13"/>
              </w:rPr>
              <w:t xml:space="preserve">Se il KIP è fuori KORA, solo nota informativa.</w:t>
            </w:r>
          </w:p>
        </w:tc>
      </w:tr>
    </w:tbl>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C — Schema dei flussi monetari</w:t>
      </w:r>
    </w:p>
    <w:p>
      <w:pPr>
        <w:pStyle w:val="ListParagraph"/>
        <w:numPr>
          <w:ilvl w:val="0"/>
          <w:numId w:val="2"/>
        </w:numPr>
        <w:spacing w:after="30" w:before="30"/>
      </w:pPr>
      <w:r>
        <w:rPr>
          <w:rFonts w:ascii="Arial" w:cs="Arial" w:eastAsia="Arial" w:hAnsi="Arial"/>
          <w:sz w:val="19"/>
          <w:szCs w:val="19"/>
        </w:rPr>
        <w:t xml:space="preserve">FLUSSO 1: Azienda → Escrow @ PI partner (FUO company-funded). KORA non riceve. Contabilizzazione: 90.01.x.</w:t>
      </w:r>
    </w:p>
    <w:p>
      <w:pPr>
        <w:pStyle w:val="ListParagraph"/>
        <w:numPr>
          <w:ilvl w:val="0"/>
          <w:numId w:val="2"/>
        </w:numPr>
        <w:spacing w:after="30" w:before="30"/>
      </w:pPr>
      <w:r>
        <w:rPr>
          <w:rFonts w:ascii="Arial" w:cs="Arial" w:eastAsia="Arial" w:hAnsi="Arial"/>
          <w:sz w:val="19"/>
          <w:szCs w:val="19"/>
        </w:rPr>
        <w:t xml:space="preserve">FLUSSO 2: KORA → PI partner (istruzione tecnica di payout). KORA non esegue il pagamento: invia solo la configurazione.</w:t>
      </w:r>
    </w:p>
    <w:p>
      <w:pPr>
        <w:pStyle w:val="ListParagraph"/>
        <w:numPr>
          <w:ilvl w:val="0"/>
          <w:numId w:val="2"/>
        </w:numPr>
        <w:spacing w:after="30" w:before="30"/>
      </w:pPr>
      <w:r>
        <w:rPr>
          <w:rFonts w:ascii="Arial" w:cs="Arial" w:eastAsia="Arial" w:hAnsi="Arial"/>
          <w:sz w:val="19"/>
          <w:szCs w:val="19"/>
        </w:rPr>
        <w:t xml:space="preserve">FLUSSO 3: PI partner → Partner certificato (Partner Payout). Contabilizzazione: 90.06.x.</w:t>
      </w:r>
    </w:p>
    <w:p>
      <w:pPr>
        <w:pStyle w:val="ListParagraph"/>
        <w:numPr>
          <w:ilvl w:val="0"/>
          <w:numId w:val="2"/>
        </w:numPr>
        <w:spacing w:after="30" w:before="30"/>
      </w:pPr>
      <w:r>
        <w:rPr>
          <w:rFonts w:ascii="Arial" w:cs="Arial" w:eastAsia="Arial" w:hAnsi="Arial"/>
          <w:sz w:val="19"/>
          <w:szCs w:val="19"/>
        </w:rPr>
        <w:t xml:space="preserve">FLUSSO 4: Azienda → KORA (KORA Fees). Unico flusso monetario su conto operativo KORA. Contabilizzazione: 70.x.</w:t>
      </w:r>
    </w:p>
    <w:p>
      <w:pPr>
        <w:pStyle w:val="ListParagraph"/>
        <w:numPr>
          <w:ilvl w:val="0"/>
          <w:numId w:val="2"/>
        </w:numPr>
        <w:spacing w:after="30" w:before="30"/>
      </w:pPr>
      <w:r>
        <w:rPr>
          <w:rFonts w:ascii="Arial" w:cs="Arial" w:eastAsia="Arial" w:hAnsi="Arial"/>
          <w:sz w:val="19"/>
          <w:szCs w:val="19"/>
        </w:rPr>
        <w:t xml:space="preserve">FLUSSO 5: Lavoratore → Sub-wallet @ PI partner (top-up personale). KORA non riceve. Contabilizzazione: 90.05.x.</w:t>
      </w:r>
    </w:p>
    <w:p>
      <w:pPr>
        <w:pStyle w:val="ListParagraph"/>
        <w:numPr>
          <w:ilvl w:val="0"/>
          <w:numId w:val="2"/>
        </w:numPr>
        <w:spacing w:after="30" w:before="30"/>
      </w:pPr>
      <w:r>
        <w:rPr>
          <w:rFonts w:ascii="Arial" w:cs="Arial" w:eastAsia="Arial" w:hAnsi="Arial"/>
          <w:sz w:val="19"/>
          <w:szCs w:val="19"/>
        </w:rPr>
        <w:t xml:space="preserve">FLUSSO 5b: Lavoratore → KORA (service fee top-up, solo la fee). Contabilizzazione: 70.09.x.</w:t>
      </w:r>
    </w:p>
    <w:p>
      <w:pPr>
        <w:pStyle w:val="ListParagraph"/>
        <w:numPr>
          <w:ilvl w:val="0"/>
          <w:numId w:val="2"/>
        </w:numPr>
        <w:spacing w:after="30" w:before="30"/>
      </w:pPr>
      <w:r>
        <w:rPr>
          <w:rFonts w:ascii="Arial" w:cs="Arial" w:eastAsia="Arial" w:hAnsi="Arial"/>
          <w:sz w:val="19"/>
          <w:szCs w:val="19"/>
        </w:rPr>
        <w:t xml:space="preserve">FLUSSO 6: Azienda → Progetto territoriale (KIP). Fuori da KORA. KORA traccia solo commitment e impatto.</w:t>
      </w:r>
    </w:p>
    <w:p>
      <w:pPr>
        <w:pStyle w:val="ListParagraph"/>
        <w:numPr>
          <w:ilvl w:val="0"/>
          <w:numId w:val="2"/>
        </w:numPr>
        <w:spacing w:after="30" w:before="30"/>
      </w:pPr>
      <w:r>
        <w:rPr>
          <w:rFonts w:ascii="Arial" w:cs="Arial" w:eastAsia="Arial" w:hAnsi="Arial"/>
          <w:sz w:val="19"/>
          <w:szCs w:val="19"/>
        </w:rPr>
        <w:t xml:space="preserve">FLUSSO 7: No-payment events. Nessun flusso monetario. Solo log algoritmico (Verified Action).</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Appendici D–G — Domande per gli advisor</w:t>
      </w:r>
    </w:p>
    <w:p>
      <w:pPr>
        <w:spacing w:after="80" w:before="60"/>
        <w:jc w:val="both"/>
      </w:pPr>
      <w:r>
        <w:rPr>
          <w:rFonts w:ascii="Arial" w:cs="Arial" w:eastAsia="Arial" w:hAnsi="Arial"/>
          <w:sz w:val="20"/>
          <w:szCs w:val="20"/>
        </w:rPr>
        <w:t xml:space="preserve">Le domande complete per ciascun advisor sono incluse nella Sezione 19 di questo documento e nella Sezione 09-bis (Fiscal Categories &amp; Guardrails). Di seguito un indice di cross-reference.</w:t>
      </w:r>
    </w:p>
    <w:p>
      <w:pPr>
        <w:pStyle w:val="ListParagraph"/>
        <w:numPr>
          <w:ilvl w:val="0"/>
          <w:numId w:val="2"/>
        </w:numPr>
        <w:spacing w:after="30" w:before="30"/>
      </w:pPr>
      <w:r>
        <w:rPr>
          <w:rFonts w:ascii="Arial" w:cs="Arial" w:eastAsia="Arial" w:hAnsi="Arial"/>
          <w:sz w:val="19"/>
          <w:szCs w:val="19"/>
        </w:rPr>
        <w:t xml:space="preserve">Appendice D — Domande commercialista welfare: vedi Sezione 19A e Sezione 09-bis §8A.</w:t>
      </w:r>
    </w:p>
    <w:p>
      <w:pPr>
        <w:pStyle w:val="ListParagraph"/>
        <w:numPr>
          <w:ilvl w:val="0"/>
          <w:numId w:val="2"/>
        </w:numPr>
        <w:spacing w:after="30" w:before="30"/>
      </w:pPr>
      <w:r>
        <w:rPr>
          <w:rFonts w:ascii="Arial" w:cs="Arial" w:eastAsia="Arial" w:hAnsi="Arial"/>
          <w:sz w:val="19"/>
          <w:szCs w:val="19"/>
        </w:rPr>
        <w:t xml:space="preserve">Appendice E — Domande consulente del lavoro: vedi Sezione 19B e Sezione 09-bis §8B.</w:t>
      </w:r>
    </w:p>
    <w:p>
      <w:pPr>
        <w:pStyle w:val="ListParagraph"/>
        <w:numPr>
          <w:ilvl w:val="0"/>
          <w:numId w:val="2"/>
        </w:numPr>
        <w:spacing w:after="30" w:before="30"/>
      </w:pPr>
      <w:r>
        <w:rPr>
          <w:rFonts w:ascii="Arial" w:cs="Arial" w:eastAsia="Arial" w:hAnsi="Arial"/>
          <w:sz w:val="19"/>
          <w:szCs w:val="19"/>
        </w:rPr>
        <w:t xml:space="preserve">Appendice F — Domande legal advisor PSD2: vedi Sezione 19C e Sezione 09-bis §8D.</w:t>
      </w:r>
    </w:p>
    <w:p>
      <w:pPr>
        <w:pStyle w:val="ListParagraph"/>
        <w:numPr>
          <w:ilvl w:val="0"/>
          <w:numId w:val="2"/>
        </w:numPr>
        <w:spacing w:after="30" w:before="30"/>
      </w:pPr>
      <w:r>
        <w:rPr>
          <w:rFonts w:ascii="Arial" w:cs="Arial" w:eastAsia="Arial" w:hAnsi="Arial"/>
          <w:sz w:val="19"/>
          <w:szCs w:val="19"/>
        </w:rPr>
        <w:t xml:space="preserve">Appendice G — Domande DPO / privacy: vedi Sezione 19D e Sezione 09-bis §8C.</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H — Risk Map completa</w:t>
      </w:r>
    </w:p>
    <w:p>
      <w:pPr>
        <w:spacing w:after="80" w:before="60"/>
        <w:jc w:val="both"/>
      </w:pPr>
      <w:r>
        <w:rPr>
          <w:rFonts w:ascii="Arial" w:cs="Arial" w:eastAsia="Arial" w:hAnsi="Arial"/>
          <w:sz w:val="20"/>
          <w:szCs w:val="20"/>
        </w:rPr>
        <w:t xml:space="preserve">La Risk Map completa è inclusa nella Sezione 17 di questo documento. Per ogni rischio sono indicati: descrizione, probabilità, impatto, mitigazione, owner, validazione richiesta, residuo.</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I — Scenario finanziario 3 anni</w:t>
      </w:r>
    </w:p>
    <w:p>
      <w:pPr>
        <w:spacing w:after="80" w:before="60"/>
        <w:jc w:val="both"/>
      </w:pPr>
      <w:r>
        <w:rPr>
          <w:rFonts w:ascii="Arial" w:cs="Arial" w:eastAsia="Arial" w:hAnsi="Arial"/>
          <w:sz w:val="20"/>
          <w:szCs w:val="20"/>
        </w:rPr>
        <w:t xml:space="preserve">Lo scenario finanziario completo a 3 anni su 3 scenari (Conservative, Base, Upside) è incluso nella Sezione 15 di questo documento. Le metriche di scala (FUO, KIP, worker top-up, partner payout) sono esplicitamente separate dal Revenue KORA.</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J — Checklist go-live</w:t>
      </w:r>
    </w:p>
    <w:p>
      <w:pPr>
        <w:spacing w:after="80" w:before="60"/>
        <w:jc w:val="both"/>
      </w:pPr>
      <w:r>
        <w:rPr>
          <w:rFonts w:ascii="Arial" w:cs="Arial" w:eastAsia="Arial" w:hAnsi="Arial"/>
          <w:sz w:val="20"/>
          <w:szCs w:val="20"/>
        </w:rPr>
        <w:t xml:space="preserve">La checklist completa di go-live è inclusa nella Sezione 20 di questo documento, con priorità (Critica / Alta / Media) e note operative per ogni voce.</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K — SVAM: clausole contrattuali essenziali</w:t>
      </w:r>
    </w:p>
    <w:p>
      <w:pPr>
        <w:spacing w:after="80" w:before="60"/>
        <w:jc w:val="both"/>
      </w:pPr>
      <w:r>
        <w:rPr>
          <w:rFonts w:ascii="Arial" w:cs="Arial" w:eastAsia="Arial" w:hAnsi="Arial"/>
          <w:sz w:val="20"/>
          <w:szCs w:val="20"/>
        </w:rPr>
        <w:t xml:space="preserve">Le clausole contrattuali essenziali del SVAM (MSA e Partner Agreement) sono incluse nella Sezione 7.4 di questo documento. Le varianti di fatturazione partner (A/B/C) sono descritte nella Sezione 7.3.</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L — Fiscal Classification Fields</w:t>
      </w:r>
    </w:p>
    <w:p>
      <w:pPr>
        <w:spacing w:after="80" w:before="60"/>
        <w:jc w:val="both"/>
      </w:pPr>
      <w:r>
        <w:rPr>
          <w:rFonts w:ascii="Arial" w:cs="Arial" w:eastAsia="Arial" w:hAnsi="Arial"/>
          <w:sz w:val="20"/>
          <w:szCs w:val="20"/>
        </w:rPr>
        <w:t xml:space="preserve">Il modello completo dei campi di classificazione fiscale (18 campi) è incluso nella Sezione 9 di questo documento, con: significato, valori possibili, chi compila, chi valida, dove viene usato.</w:t>
      </w:r>
    </w:p>
    <w:p>
      <w:pPr>
        <w:spacing w:after="60" w:before="60"/>
        <w:jc w:val="both"/>
      </w:pPr>
      <w:r>
        <w:rPr>
          <w:rFonts w:ascii="Arial" w:cs="Arial" w:eastAsia="Arial" w:hAnsi="Arial"/>
          <w:sz w:val="20"/>
          <w:szCs w:val="20"/>
        </w:rPr>
        <w:t xml:space="preserve"/>
      </w:r>
    </w:p>
    <w:p>
      <w:pPr>
        <w:spacing w:after="120" w:before="300"/>
      </w:pPr>
      <w:r>
        <w:rPr>
          <w:rFonts w:ascii="Arial" w:cs="Arial" w:eastAsia="Arial" w:hAnsi="Arial"/>
          <w:b/>
          <w:bCs/>
          <w:color w:val="2E75B6"/>
          <w:sz w:val="24"/>
          <w:szCs w:val="24"/>
        </w:rPr>
        <w:t xml:space="preserve">Appendice M — Welfare Statement template</w:t>
      </w:r>
    </w:p>
    <w:p>
      <w:pPr>
        <w:spacing w:after="80" w:before="60"/>
        <w:jc w:val="both"/>
      </w:pPr>
      <w:r>
        <w:rPr>
          <w:rFonts w:ascii="Arial" w:cs="Arial" w:eastAsia="Arial" w:hAnsi="Arial"/>
          <w:sz w:val="20"/>
          <w:szCs w:val="20"/>
        </w:rPr>
        <w:t xml:space="preserve">La struttura completa del Welfare Statement mensile (18 campi) è inclusa nella Sezione 11 di questo documento, incluso il disclaimer obbligatorio di non-certificazione fiscale.</w:t>
      </w:r>
    </w:p>
    <w:p>
      <w:pPr>
        <w:spacing w:after="60" w:before="60"/>
        <w:jc w:val="both"/>
      </w:pPr>
      <w:r>
        <w:rPr>
          <w:rFonts w:ascii="Arial" w:cs="Arial" w:eastAsia="Arial" w:hAnsi="Arial"/>
          <w:sz w:val="20"/>
          <w:szCs w:val="20"/>
        </w:rPr>
        <w:t xml:space="preserve"/>
      </w:r>
    </w:p>
    <w:p>
      <w:pPr>
        <w:pBdr>
          <w:left w:val="single" w:color="2E75B6" w:sz="12"/>
        </w:pBdr>
        <w:spacing w:after="60" w:before="80"/>
        <w:ind w:left="360"/>
      </w:pPr>
      <w:r>
        <w:rPr>
          <w:rFonts w:ascii="Arial" w:cs="Arial" w:eastAsia="Arial" w:hAnsi="Arial"/>
          <w:b/>
          <w:bCs/>
          <w:color w:val="2E75B6"/>
          <w:sz w:val="17"/>
          <w:szCs w:val="17"/>
        </w:rPr>
        <w:t xml:space="preserve">FINE DOCUMENTO  </w:t>
      </w:r>
      <w:r>
        <w:rPr>
          <w:rFonts w:ascii="Arial" w:cs="Arial" w:eastAsia="Arial" w:hAnsi="Arial"/>
          <w:i/>
          <w:iCs/>
          <w:color w:val="444444"/>
          <w:sz w:val="17"/>
          <w:szCs w:val="17"/>
        </w:rPr>
        <w:t xml:space="preserve">KORA · Economic &amp; Financial White Paper · Versione 2.0. Documento riservato. Destinato a advisor professionali, investitori istituzionali in fase di due diligence, e founder. Non costituisce parere professionale. Tutte le qualifiche fiscali, legali, contrattuali e regolatorie richiedono validazione specialistica prima dell'avvio operativo.</w:t>
      </w:r>
    </w:p>
    <w:sectPr>
      <w:pgSz w:w="11906" w:h="16838" w:orient="portrait"/>
      <w:pgMar w:top="1000" w:right="10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540" w:hanging="270"/>
      </w:pPr>
    </w:lvl>
  </w:abstractNum>
  <w:abstractNum w:abstractNumId="3" w15:restartNumberingAfterBreak="0">
    <w:multiLevelType w:val="hybridMultilevel"/>
    <w:lvl w:ilvl="0" w15:tentative="1">
      <w:start w:val="1"/>
      <w:numFmt w:val="decimal"/>
      <w:lvlText w:val="%1."/>
      <w:lvlJc w:val="left"/>
      <w:pPr>
        <w:spacing w:after="40" w:before="40"/>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2026-05-10T21:44:37.372Z</dcterms:created>
  <dcterms:modified xsi:type="dcterms:W3CDTF">2026-05-10T21:44:37.387Z</dcterms:modified>
</cp:coreProperties>
</file>

<file path=docProps/custom.xml><?xml version="1.0" encoding="utf-8"?>
<Properties xmlns="http://schemas.openxmlformats.org/officeDocument/2006/custom-properties" xmlns:vt="http://schemas.openxmlformats.org/officeDocument/2006/docPropsVTypes"/>
</file>