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both"/>
      </w:pPr>
      <w:r>
        <w:rPr>
          <w:rFonts w:ascii="Arial" w:cs="Arial" w:eastAsia="Arial" w:hAnsi="Arial"/>
          <w:color w:val="666666"/>
          <w:sz w:val="18"/>
          <w:szCs w:val="18"/>
        </w:rPr>
        <w:t xml:space="preserve">KORA · Economic &amp; Operating Architecture</w:t>
      </w:r>
    </w:p>
    <w:p>
      <w:pPr>
        <w:pBdr>
          <w:bottom w:val="single" w:color="2E75B6" w:sz="6" w:space="1"/>
        </w:pBdr>
        <w:spacing w:after="200" w:before="400"/>
      </w:pPr>
      <w:r>
        <w:rPr>
          <w:rFonts w:ascii="Arial" w:cs="Arial" w:eastAsia="Arial" w:hAnsi="Arial"/>
          <w:b/>
          <w:bCs/>
          <w:color w:val="1F3864"/>
          <w:sz w:val="32"/>
          <w:szCs w:val="32"/>
        </w:rPr>
        <w:t xml:space="preserve">Sezione 09-bis — Fiscal Categories &amp; Guardrails</w:t>
      </w:r>
    </w:p>
    <w:p>
      <w:pPr>
        <w:spacing w:after="300" w:before="60"/>
      </w:pPr>
      <w:r>
        <w:rPr>
          <w:rFonts w:ascii="Arial" w:cs="Arial" w:eastAsia="Arial" w:hAnsi="Arial"/>
          <w:b/>
          <w:bCs/>
          <w:color w:val="2E75B6"/>
          <w:sz w:val="23"/>
          <w:szCs w:val="23"/>
        </w:rPr>
        <w:t xml:space="preserve">Categorie fiscali e amministrative trattate da KORA — perimetro, flussi economici, rendicontazione e controlli automatici</w:t>
      </w:r>
    </w:p>
    <w:p>
      <w:pPr>
        <w:pBdr>
          <w:left w:val="single" w:color="2E75B6" w:sz="12"/>
        </w:pBdr>
        <w:spacing w:after="60" w:before="80"/>
        <w:ind w:left="360"/>
      </w:pPr>
      <w:r>
        <w:rPr>
          <w:rFonts w:ascii="Arial" w:cs="Arial" w:eastAsia="Arial" w:hAnsi="Arial"/>
          <w:b/>
          <w:bCs/>
          <w:color w:val="2E75B6"/>
          <w:sz w:val="18"/>
          <w:szCs w:val="18"/>
        </w:rPr>
        <w:t xml:space="preserve">VALIDATION REQUIRED </w:t>
      </w:r>
      <w:r>
        <w:rPr>
          <w:rFonts w:ascii="Arial" w:cs="Arial" w:eastAsia="Arial" w:hAnsi="Arial"/>
          <w:i/>
          <w:iCs/>
          <w:color w:val="444444"/>
          <w:sz w:val="18"/>
          <w:szCs w:val="18"/>
        </w:rPr>
        <w:t xml:space="preserve">Tutte le classificazioni fiscali riportate in questa sezione sono ipotesi di lavoro progettuale. Non costituiscono parere professionale. Le qualifiche fiscali e contributive delle categorie trattate da KORA devono essere validate da commercialista welfare, consulente del lavoro e legal advisor prima dell'avvio operativo. Dove compaiono soglie numeriche, sono indicate come riferimento orientativo soggetto ad aggiornamento annuale secondo normativa vigente.</w:t>
      </w:r>
    </w:p>
    <w:p>
      <w:pPr>
        <w:spacing w:after="60" w:before="60"/>
        <w:jc w:val="both"/>
      </w:pPr>
      <w:r>
        <w:rPr>
          <w:rFonts w:ascii="Arial" w:cs="Arial" w:eastAsia="Arial" w:hAnsi="Arial"/>
          <w:sz w:val="20"/>
          <w:szCs w:val="20"/>
        </w:rPr>
        <w:t xml:space="preserve"/>
      </w:r>
    </w:p>
    <w:p>
      <w:pPr>
        <w:spacing w:after="120" w:before="320"/>
      </w:pPr>
      <w:r>
        <w:rPr>
          <w:rFonts w:ascii="Arial" w:cs="Arial" w:eastAsia="Arial" w:hAnsi="Arial"/>
          <w:b/>
          <w:bCs/>
          <w:color w:val="2E75B6"/>
          <w:sz w:val="26"/>
          <w:szCs w:val="26"/>
        </w:rPr>
        <w:t xml:space="preserve">1. Perimetro e logica delle categorie fiscali in KORA</w:t>
      </w:r>
    </w:p>
    <w:p>
      <w:pPr>
        <w:spacing w:after="80" w:before="80"/>
        <w:jc w:val="both"/>
      </w:pPr>
      <w:r>
        <w:rPr>
          <w:rFonts w:ascii="Arial" w:cs="Arial" w:eastAsia="Arial" w:hAnsi="Arial"/>
          <w:sz w:val="20"/>
          <w:szCs w:val="20"/>
        </w:rPr>
        <w:t xml:space="preserve">KORA non è un consulente fiscale e non certifica il trattamento tributario delle categorie che orchestra. KORA è un program operator e centralizzatore amministrativo che: (a) riceve dall'azienda cliente la configurazione del programma, inclusa la classificazione fiscale delle categorie di spesa deliberata dall'azienda e validata dai propri advisor; (b) applica tale classificazione all'interno del Fiscal Guardrails Engine per autorizzare, bloccare o segnalare ogni evento/transazione; (c) rendiconta le transazioni per categoria nel Welfare Statement mensile, in formato payroll-ready per il consulente del lavoro del cliente; (d) custodisce l'audit trail documentale che supporta la qualifica fiscale in caso di accertamento.</w:t>
      </w:r>
    </w:p>
    <w:p>
      <w:pPr>
        <w:spacing w:after="80" w:before="80"/>
        <w:jc w:val="both"/>
      </w:pPr>
      <w:r>
        <w:rPr>
          <w:rFonts w:ascii="Arial" w:cs="Arial" w:eastAsia="Arial" w:hAnsi="Arial"/>
          <w:sz w:val="20"/>
          <w:szCs w:val="20"/>
        </w:rPr>
        <w:t xml:space="preserve">Le categorie si distinguono in tre famiglie: (1) categorie con trattamento fiscale agevolato per il lavoratore (welfare ex art. 51 TUIR, fringe benefit entro soglia), che generano FUO aziendali, Partner Payout e Welfare Statement; (2) categorie di budget aziendali senza trattamento welfare specifico per il lavoratore (formazione, HSE, CSR, HR discretionary), che generano flussi economici ma non entrano nel perimetro art. 51 TUIR; (3) categorie senza flusso economico aziendale (eventi non-payment, top-up personale lavoratore), che generano solo dati di impatto o flussi del lavoratore stesso.</w:t>
      </w:r>
    </w:p>
    <w:p>
      <w:pPr>
        <w:pBdr>
          <w:left w:val="single" w:color="2E75B6" w:sz="12"/>
        </w:pBdr>
        <w:spacing w:after="60" w:before="80"/>
        <w:ind w:left="360"/>
      </w:pPr>
      <w:r>
        <w:rPr>
          <w:rFonts w:ascii="Arial" w:cs="Arial" w:eastAsia="Arial" w:hAnsi="Arial"/>
          <w:b/>
          <w:bCs/>
          <w:color w:val="2E75B6"/>
          <w:sz w:val="18"/>
          <w:szCs w:val="18"/>
        </w:rPr>
        <w:t xml:space="preserve">CORE PRINCIPLE </w:t>
      </w:r>
      <w:r>
        <w:rPr>
          <w:rFonts w:ascii="Arial" w:cs="Arial" w:eastAsia="Arial" w:hAnsi="Arial"/>
          <w:i/>
          <w:iCs/>
          <w:color w:val="444444"/>
          <w:sz w:val="18"/>
          <w:szCs w:val="18"/>
        </w:rPr>
        <w:t xml:space="preserve">La classificazione fiscale di ogni categoria è dichiarata dall'azienda, configurata nel Fiscal Guardrails Engine, validata dal commercialista welfare e dal consulente del lavoro, e tracciata da KORA. KORA non auto-classifica né auto-certifica il trattamento fiscale.</w:t>
      </w:r>
    </w:p>
    <w:p>
      <w:pPr>
        <w:spacing w:after="60" w:before="60"/>
        <w:jc w:val="both"/>
      </w:pPr>
      <w:r>
        <w:rPr>
          <w:rFonts w:ascii="Arial" w:cs="Arial" w:eastAsia="Arial" w:hAnsi="Arial"/>
          <w:sz w:val="20"/>
          <w:szCs w:val="20"/>
        </w:rPr>
        <w:t xml:space="preserve"/>
      </w:r>
    </w:p>
    <w:p>
      <w:pPr>
        <w:spacing w:after="120" w:before="320"/>
      </w:pPr>
      <w:r>
        <w:rPr>
          <w:rFonts w:ascii="Arial" w:cs="Arial" w:eastAsia="Arial" w:hAnsi="Arial"/>
          <w:b/>
          <w:bCs/>
          <w:color w:val="2E75B6"/>
          <w:sz w:val="26"/>
          <w:szCs w:val="26"/>
        </w:rPr>
        <w:t xml:space="preserve">2. Tabella delle categorie fiscali e amministrative</w:t>
      </w:r>
    </w:p>
    <w:p>
      <w:pPr>
        <w:spacing w:after="100" w:before="220"/>
      </w:pPr>
      <w:r>
        <w:rPr>
          <w:rFonts w:ascii="Arial" w:cs="Arial" w:eastAsia="Arial" w:hAnsi="Arial"/>
          <w:b/>
          <w:bCs/>
          <w:color w:val="1F3864"/>
          <w:sz w:val="22"/>
          <w:szCs w:val="22"/>
        </w:rPr>
        <w:t xml:space="preserve">2a. Caratteristiche generali e finanziarie</w:t>
      </w:r>
    </w:p>
    <w:p>
      <w:pPr>
        <w:spacing w:after="80" w:before="80"/>
        <w:jc w:val="both"/>
      </w:pPr>
      <w:r>
        <w:rPr>
          <w:rFonts w:ascii="Arial" w:cs="Arial" w:eastAsia="Arial" w:hAnsi="Arial"/>
          <w:sz w:val="20"/>
          <w:szCs w:val="20"/>
        </w:rPr>
        <w:t xml:space="preserve">La tabella seguente sintetizza, per ciascuna delle nove categorie, le caratteristiche operative e finanziarie principali.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2200"/>
        <w:gridCol w:w="900"/>
        <w:gridCol w:w="900"/>
        <w:gridCol w:w="700"/>
        <w:gridCol w:w="700"/>
        <w:gridCol w:w="700"/>
      </w:tblGrid>
      <w:tr>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Categoria</w:t>
            </w:r>
          </w:p>
        </w:tc>
        <w:tc>
          <w:tcPr>
            <w:tcW w:type="dxa" w:w="22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Descrizione</w:t>
            </w:r>
          </w:p>
        </w:tc>
        <w:tc>
          <w:tcPr>
            <w:tcW w:type="dxa" w:w="22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Esempi di servizi</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Funding source</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Trattamento fiscale</w:t>
            </w:r>
          </w:p>
        </w:tc>
        <w:tc>
          <w:tcPr>
            <w:tcW w:type="dxa" w:w="7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Entra nei FUO?</w:t>
            </w:r>
          </w:p>
        </w:tc>
        <w:tc>
          <w:tcPr>
            <w:tcW w:type="dxa" w:w="7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Ricavo KORA?</w:t>
            </w:r>
          </w:p>
        </w:tc>
        <w:tc>
          <w:tcPr>
            <w:tcW w:type="dxa" w:w="7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Partner Payout?</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1. Welfare aziendale ex art. 51 TUIR</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Servizi e benefit esclusi dal reddito di lavoro dipendente ai sensi dell'art. 51 c.2 TUIR, deliberati dall'azienda per categorie omogenee di lavoratori. Non convertibili in denaro.</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Educazione, istruzione, asili, assistenza familiare/anziani, sanità integrativa, previdenza complementare, TPL, attività ricreative/culturali/sociali compatibili, servizi di utilità sociale.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Azienda (company-funded)</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Agevolato: escluso da reddito lavoratore entro perimetro e soglie vigenti. Da validare per singolo servizio.</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r>
      <w:tr>
        <w:tc>
          <w:tcPr>
            <w:tcW w:type="dxa" w:w="11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2. Fringe benefit</w:t>
            </w:r>
          </w:p>
        </w:tc>
        <w:tc>
          <w:tcPr>
            <w:tcW w:type="dxa" w:w="2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Beni e servizi individuali attribuiti dall'azienda al lavoratore. Esenti da tassazione entro soglia annuale (art. 51 c.3 TUIR). La soglia è soggetta ad aggiornamento annuale con le Leggi di Bilancio.</w:t>
            </w:r>
          </w:p>
        </w:tc>
        <w:tc>
          <w:tcPr>
            <w:tcW w:type="dxa" w:w="2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Buoni acquisto, voucher, beni in natura, rimborsi utenze (se ammessi dalla normativa vigente), altri benefit individuali entro soglia.</w:t>
            </w:r>
          </w:p>
        </w:tc>
        <w:tc>
          <w:tcPr>
            <w:tcW w:type="dxa" w:w="9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Azienda</w:t>
            </w:r>
          </w:p>
        </w:tc>
        <w:tc>
          <w:tcPr>
            <w:tcW w:type="dxa" w:w="9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Agevolato entro soglia annuale. Sopra soglia: imponibile per il lavoratore con oneri previdenziali. Soglia da aggiornare annualmente.</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3. Formazione / training budget</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Budget aziendale per la formazione professionale dei dipendenti. Non necessariamente welfare ex art. 51 TUIR. Può avere propria deducibilità aziendale.</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Corsi interni/esterni, formazione obbligatoria, certificazioni, LMS, academy, coaching professionale, lingue.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Azienda (HR/Training budget)</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Costo deducibile per l'azienda (art. 95 TUIR). Non necessariamente agevolato per il lavoratore. Da valutare caso per caso.</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r>
      <w:tr>
        <w:tc>
          <w:tcPr>
            <w:tcW w:type="dxa" w:w="11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4. Salute e sicurezza / HSE budget</w:t>
            </w:r>
          </w:p>
        </w:tc>
        <w:tc>
          <w:tcPr>
            <w:tcW w:type="dxa" w:w="2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Budget per iniziative di salute, sicurezza e prevenzione. Può sovrapporsi con welfare (sanità integrativa) o essere budget operativo HSE separato.</w:t>
            </w:r>
          </w:p>
        </w:tc>
        <w:tc>
          <w:tcPr>
            <w:tcW w:type="dxa" w:w="2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Formazione sicurezza obbligatoria, screening preventivi, programmi salute, ergonomia, iniziative wellbeing workplace, DPI formativi.</w:t>
            </w:r>
          </w:p>
        </w:tc>
        <w:tc>
          <w:tcPr>
            <w:tcW w:type="dxa" w:w="9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Azienda (HSE/operativo)</w:t>
            </w:r>
          </w:p>
        </w:tc>
        <w:tc>
          <w:tcPr>
            <w:tcW w:type="dxa" w:w="9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Variabile: formazione sicurezza obbligatoria = costo aziendale; screening/wellbeing = potenzialmente welfare. Da qualificare per servizio.</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5. CSR / ESG / community budget</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Budget per iniziative di responsabilità sociale, territoriali, ambientali, partnership con ETS. Separato dal welfare dei dipendenti.</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Volontariato aziendale, KORA Impact Pledge (KIP), progetti territoriali, partnership Comune/ETS/ASD/fondazioni, iniziative ESG.</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Azienda (CSR/ESG budget)</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Non welfare lavoratore. Deducibilità liberalità / erogazioni liberali (art. 100 TUIR) da verificare. KIP: flusso diretto azienda → progetto.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r>
      <w:tr>
        <w:tc>
          <w:tcPr>
            <w:tcW w:type="dxa" w:w="11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6. People / HR discretionary budget</w:t>
            </w:r>
          </w:p>
        </w:tc>
        <w:tc>
          <w:tcPr>
            <w:tcW w:type="dxa" w:w="2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Budget HR per iniziative interne non fiscalmente qualificate come welfare. Non genera agevolazione fiscale per il lavoratore.</w:t>
            </w:r>
          </w:p>
        </w:tc>
        <w:tc>
          <w:tcPr>
            <w:tcW w:type="dxa" w:w="2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Team activity, programmi genitorialità, engagement, wellbeing non agevolato, eventi aziendali, sussidi non strutturati.</w:t>
            </w:r>
          </w:p>
        </w:tc>
        <w:tc>
          <w:tcPr>
            <w:tcW w:type="dxa" w:w="9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Azienda (HR budget)</w:t>
            </w:r>
          </w:p>
        </w:tc>
        <w:tc>
          <w:tcPr>
            <w:tcW w:type="dxa" w:w="9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Costo aziendale generico. Non agevolato per il lavoratore (salvo specifiche qualifiche). Rischio imponibilità se configurato come retribuzione.</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7. Employee-paid / personal-funded</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Il lavoratore utilizza KORA con fondi personali propri (post-tassazione). Non è welfare aziendale. Non entra nei FUO aziendali.</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Top-up personale, acquisti personali presso partner KORA, Premium Personal subscription, prosecuzione volontaria di servizi.</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Lavoratore (fondi personali post-tassazione)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Spesa personale del lavoratore. Nessuna agevolazione fiscale specifica. IVA ordinaria sui servizi acquistati.</w:t>
            </w:r>
          </w:p>
        </w:tc>
        <w:tc>
          <w:tcPr>
            <w:tcW w:type="dxa" w:w="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N/A</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r>
      <w:tr>
        <w:tc>
          <w:tcPr>
            <w:tcW w:type="dxa" w:w="11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8. Co-funded</w:t>
            </w:r>
          </w:p>
        </w:tc>
        <w:tc>
          <w:tcPr>
            <w:tcW w:type="dxa" w:w="2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Quota parte finanziata dall'azienda (welfare o HR budget) e quota parte integrata volontariamente dal lavoratore con fondi propri. Richiede separazione contabile dei due flussi.</w:t>
            </w:r>
          </w:p>
        </w:tc>
        <w:tc>
          <w:tcPr>
            <w:tcW w:type="dxa" w:w="22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Welfare aziendale + integrazione personale per upgrade servizio, co-payment su servizio sanitario, prolungamento servizio.</w:t>
            </w:r>
          </w:p>
        </w:tc>
        <w:tc>
          <w:tcPr>
            <w:tcW w:type="dxa" w:w="9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Azienda (FUO) + Lavoratore (sub-wallet personale)</w:t>
            </w:r>
          </w:p>
        </w:tc>
        <w:tc>
          <w:tcPr>
            <w:tcW w:type="dxa" w:w="9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La quota aziendale segue il trattamento welfare (se qualificata). La quota lavoratore è spesa personale. I flussi devono essere separati e tracciati separatamente.</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color w:val="7F6000"/>
                <w:sz w:val="16"/>
                <w:szCs w:val="16"/>
              </w:rPr>
              <w:t xml:space="preserve">PARZ</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9. Non-monetary / no-payment events</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Azioni e partecipazioni che generano Impact Units e dati nel KORA Index ma non implicano pagamento a partner o flusso economico aziendale.</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Mentoring interno, volontariato interno, partecipazione community, eventi senza corrispettivo, formazione peer-to-peer.</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Nessun flusso monetario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Nessuna rilevanza fiscale diretta. Genera solo dato algoritmico (Verified Action, Impact Unit, KORA Index).</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r>
    </w:tbl>
    <w:p>
      <w:pPr>
        <w:spacing w:after="60" w:before="60"/>
        <w:jc w:val="both"/>
      </w:pPr>
      <w:r>
        <w:rPr>
          <w:rFonts w:ascii="Arial" w:cs="Arial" w:eastAsia="Arial" w:hAnsi="Arial"/>
          <w:sz w:val="20"/>
          <w:szCs w:val="20"/>
        </w:rPr>
        <w:t xml:space="preserve"/>
      </w:r>
    </w:p>
    <w:p>
      <w:pPr>
        <w:spacing w:after="100" w:before="220"/>
      </w:pPr>
      <w:r>
        <w:rPr>
          <w:rFonts w:ascii="Arial" w:cs="Arial" w:eastAsia="Arial" w:hAnsi="Arial"/>
          <w:b/>
          <w:bCs/>
          <w:color w:val="1F3864"/>
          <w:sz w:val="22"/>
          <w:szCs w:val="22"/>
        </w:rPr>
        <w:t xml:space="preserve">2b. Obblighi documentali, Welfare Statement e rischi principali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700"/>
        <w:gridCol w:w="700"/>
        <w:gridCol w:w="2000"/>
        <w:gridCol w:w="2400"/>
        <w:gridCol w:w="1800"/>
      </w:tblGrid>
      <w:tr>
        <w:tc>
          <w:tcPr>
            <w:tcW w:type="dxa" w:w="11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Categoria</w:t>
            </w:r>
          </w:p>
        </w:tc>
        <w:tc>
          <w:tcPr>
            <w:tcW w:type="dxa" w:w="7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Doc. partner?</w:t>
            </w:r>
          </w:p>
        </w:tc>
        <w:tc>
          <w:tcPr>
            <w:tcW w:type="dxa" w:w="7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Welfare Statement?</w:t>
            </w:r>
          </w:p>
        </w:tc>
        <w:tc>
          <w:tcPr>
            <w:tcW w:type="dxa" w:w="7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Payroll relevance?</w:t>
            </w:r>
          </w:p>
        </w:tc>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Rischi principali</w:t>
            </w:r>
          </w:p>
        </w:tc>
        <w:tc>
          <w:tcPr>
            <w:tcW w:type="dxa" w:w="24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Guardrail KORA principale</w:t>
            </w:r>
          </w:p>
        </w:tc>
        <w:tc>
          <w:tcPr>
            <w:tcW w:type="dxa" w:w="18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Note per advisor</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1. Welfare ex art. 51 TUIR</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Errata categoria omogenea; conversione in denaro; servizio non ammissibile; soglia fringe superata; documentazione probatoria assente.</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Controllo categoria omogenea, eligibilità, non-convertibilità, plafond individuale, partner abilitato, documento probatorio richiesto.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Validazione commercialista welfare + consulente del lavoro prima dell'inserimento di ogni categoria e servizio.</w:t>
            </w:r>
          </w:p>
        </w:tc>
      </w:tr>
      <w:tr>
        <w:tc>
          <w:tcPr>
            <w:tcW w:type="dxa" w:w="11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2. Fringe benefit</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c>
          <w:tcPr>
            <w:tcW w:type="dxa" w:w="2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Superamento soglia annuale (imponibile per il lavoratore); cumulato non monitorato; mancata comunicazione al payroll.</w:t>
            </w:r>
          </w:p>
        </w:tc>
        <w:tc>
          <w:tcPr>
            <w:tcW w:type="dxa" w:w="24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Monitoraggio cumulato annuo per lavoratore vs soglia vigente. Alert automatico a soglia prossima. Blocco a soglia raggiunta (configurabile).</w:t>
            </w:r>
          </w:p>
        </w:tc>
        <w:tc>
          <w:tcPr>
            <w:tcW w:type="dxa" w:w="18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Soglia da aggiornare annualmente. Commercialista comunica a KORA la soglia vigente prima di ogni annualità.</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3. Formazione</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Confusione tra formazione welfare (agevolata) e training budget (non agevolato); IVA errata su servizio formativo.</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Categoria distinta da welfare puro nel sistema. Se formazione non è in perimetro welfare cliente, non entra nel Welfare Statement.</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Il cliente decide se la formazione è nel perimetro welfare o nel budget HR. La qualifica è del cliente e del suo advisor.</w:t>
            </w:r>
          </w:p>
        </w:tc>
      </w:tr>
      <w:tr>
        <w:tc>
          <w:tcPr>
            <w:tcW w:type="dxa" w:w="11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4. HSE budget</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700"/>
            <w:gridSpan w:val="1"/>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N/A</w:t>
            </w:r>
          </w:p>
        </w:tc>
        <w:tc>
          <w:tcPr>
            <w:tcW w:type="dxa" w:w="2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Confusione tra formazione sicurezza obbligatoria (costo aziendale) e screening/wellbeing (potenzialmente welfare); IVA su prestazioni sanitarie.</w:t>
            </w:r>
          </w:p>
        </w:tc>
        <w:tc>
          <w:tcPr>
            <w:tcW w:type="dxa" w:w="24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Categoria HSE separata da welfare nel sistema. I servizi HSE non entrano nel Welfare Statement salvo esplicita configurazione del cliente.</w:t>
            </w:r>
          </w:p>
        </w:tc>
        <w:tc>
          <w:tcPr>
            <w:tcW w:type="dxa" w:w="18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La qualificazione dei singoli servizi HSE come welfare o costo aziendale è del cliente e del commercialista.</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5. CSR / ESG / KIP</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Confusione tra benefit al lavoratore e contributo a progetto territoriale; KIP non è welfare; flusso diretto azienda → progetto senza escrow KORA.</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KIP: flusso esterno alla piattaforma KORA, non gestito come FUO. KORA traccia solo l'impatto dichiarato, non il flusso finanziario.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Il KIP non transita da KORA. L'azienda eroga direttamente al progetto. KORA traccia il commitment e l'impatto.</w:t>
            </w:r>
          </w:p>
        </w:tc>
      </w:tr>
      <w:tr>
        <w:tc>
          <w:tcPr>
            <w:tcW w:type="dxa" w:w="11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6. HR discretionary</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2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Rischio imponibilità se configurato come retribuzione; confusione con welfare; assenza di documentazione adeguata.</w:t>
            </w:r>
          </w:p>
        </w:tc>
        <w:tc>
          <w:tcPr>
            <w:tcW w:type="dxa" w:w="24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Categoria separata da welfare nel sistema. Non entra nel perimetro art. 51 TUIR salvo specifica qualifica del consulente del lavoro.</w:t>
            </w:r>
          </w:p>
        </w:tc>
        <w:tc>
          <w:tcPr>
            <w:tcW w:type="dxa" w:w="18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Se il cliente vuole attribuire fiscalmente questi servizi come welfare, richiede parere specifico consulente del lavoro.</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7. Employee-paid</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Confusione con welfare aziendale; IVA errata se trattato come welfare; mancata separazione dai FUO aziendali.</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Wallet personale del lavoratore segregato dai FUO aziendali. Flusso etichettato come employee-funded. Non entra nel Welfare Statement aziendale.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Il top-up personale è spesa del lavoratore. KORA fattura service fee top-up come ricavo proprio (IVA 22%).</w:t>
            </w:r>
          </w:p>
        </w:tc>
      </w:tr>
      <w:tr>
        <w:tc>
          <w:tcPr>
            <w:tcW w:type="dxa" w:w="11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8. Co-funded</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c>
          <w:tcPr>
            <w:tcW w:type="dxa" w:w="700"/>
            <w:gridSpan w:val="1"/>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vAlign w:val="top"/>
          </w:tcPr>
          <w:p>
            <w:pPr>
              <w:spacing w:after="0" w:before="0"/>
              <w:jc w:val="left"/>
            </w:pPr>
            <w:r>
              <w:rPr>
                <w:rFonts w:ascii="Arial" w:cs="Arial" w:eastAsia="Arial" w:hAnsi="Arial"/>
                <w:b/>
                <w:bCs/>
                <w:color w:val="375623"/>
                <w:sz w:val="16"/>
                <w:szCs w:val="16"/>
              </w:rPr>
              <w:t xml:space="preserve">SÌ</w:t>
            </w:r>
          </w:p>
        </w:tc>
        <w:tc>
          <w:tcPr>
            <w:tcW w:type="dxa" w:w="700"/>
            <w:gridSpan w:val="1"/>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vAlign w:val="top"/>
          </w:tcPr>
          <w:p>
            <w:pPr>
              <w:spacing w:after="0" w:before="0"/>
              <w:jc w:val="left"/>
            </w:pPr>
            <w:r>
              <w:rPr>
                <w:rFonts w:ascii="Arial" w:cs="Arial" w:eastAsia="Arial" w:hAnsi="Arial"/>
                <w:b/>
                <w:bCs/>
                <w:color w:val="7F6000"/>
                <w:sz w:val="16"/>
                <w:szCs w:val="16"/>
              </w:rPr>
              <w:t xml:space="preserve">VAR</w:t>
            </w:r>
          </w:p>
        </w:tc>
        <w:tc>
          <w:tcPr>
            <w:tcW w:type="dxa" w:w="20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Mancata separazione tra quota aziendale e quota personale; rischio che la quota personale sia trattata come welfare; rendicontazione non distinta.</w:t>
            </w:r>
          </w:p>
        </w:tc>
        <w:tc>
          <w:tcPr>
            <w:tcW w:type="dxa" w:w="24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Flussi separati per quota: quota aziendale in FUO company-funded, quota lavoratore in sub-wallet personale. Welfare Statement mostra entrambe le quote separatamente.</w:t>
            </w:r>
          </w:p>
        </w:tc>
        <w:tc>
          <w:tcPr>
            <w:tcW w:type="dxa" w:w="1800"/>
            <w:gridSpan w:val="1"/>
            <w:tcBorders>
              <w:top w:val="single" w:color="CCCCCC" w:sz="1"/>
              <w:left w:val="single" w:color="CCCCCC" w:sz="1"/>
              <w:bottom w:val="single" w:color="CCCCCC" w:sz="1"/>
              <w:right w:val="single" w:color="CCCCCC" w:sz="1"/>
            </w:tcBorders>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La struttura co-funded richiede validazione specifica del commercialista welfare per la quota aziendale e delle sue implicazioni fiscali.</w:t>
            </w:r>
          </w:p>
        </w:tc>
      </w:tr>
      <w:tr>
        <w:tc>
          <w:tcPr>
            <w:tcW w:type="dxa" w:w="11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9. Non-monetary</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595959"/>
                <w:sz w:val="16"/>
                <w:szCs w:val="16"/>
              </w:rPr>
              <w:t xml:space="preserve">NO</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Nessun rischio fiscale diretto. Rischio privacy nella tracciatura di comportamenti del lavoratore (mentoring, volontariato).</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Evento registrato nel log algoritmico come Verified Action. Nessun flusso economico. Nessun guardrail fiscale attivo.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7"/>
                <w:szCs w:val="17"/>
              </w:rPr>
              <w:t xml:space="preserve">La tracciatura dei no-payment events deve essere validata dal DPO / privacy advisor per conformità GDPR.</w:t>
            </w:r>
          </w:p>
        </w:tc>
      </w:tr>
    </w:tbl>
    <w:p>
      <w:pPr>
        <w:spacing w:after="60" w:before="60"/>
        <w:jc w:val="both"/>
      </w:pPr>
      <w:r>
        <w:rPr>
          <w:rFonts w:ascii="Arial" w:cs="Arial" w:eastAsia="Arial" w:hAnsi="Arial"/>
          <w:sz w:val="20"/>
          <w:szCs w:val="20"/>
        </w:rPr>
        <w:t xml:space="preserve"/>
      </w:r>
    </w:p>
    <w:p>
      <w:pPr>
        <w:spacing w:after="120" w:before="320"/>
      </w:pPr>
      <w:r>
        <w:rPr>
          <w:rFonts w:ascii="Arial" w:cs="Arial" w:eastAsia="Arial" w:hAnsi="Arial"/>
          <w:b/>
          <w:bCs/>
          <w:color w:val="2E75B6"/>
          <w:sz w:val="26"/>
          <w:szCs w:val="26"/>
        </w:rPr>
        <w:t xml:space="preserve">3. Fiscal Classification Fields — modello dati</w:t>
      </w:r>
    </w:p>
    <w:p>
      <w:pPr>
        <w:spacing w:after="80" w:before="80"/>
        <w:jc w:val="both"/>
      </w:pPr>
      <w:r>
        <w:rPr>
          <w:rFonts w:ascii="Arial" w:cs="Arial" w:eastAsia="Arial" w:hAnsi="Arial"/>
          <w:sz w:val="20"/>
          <w:szCs w:val="20"/>
        </w:rPr>
        <w:t xml:space="preserve">Ogni transazione, evento o prenotazione che transita nella piattaforma KORA porta un set strutturato di campi di classificazione fiscale. Questi campi sono compilati in fase di configurazione del programma (dal cliente, con validazione degli advisor), aggiornati in real-time dal Fiscal Guardrails Engine, e conservati nell'audit trail. La tabella seguente definisce ciascun campo.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1700"/>
        <w:gridCol w:w="900"/>
        <w:gridCol w:w="900"/>
        <w:gridCol w:w="2200"/>
      </w:tblGrid>
      <w:tr>
        <w:tc>
          <w:tcPr>
            <w:tcW w:type="dxa" w:w="17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Campo</w:t>
            </w:r>
          </w:p>
        </w:tc>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Significato</w:t>
            </w:r>
          </w:p>
        </w:tc>
        <w:tc>
          <w:tcPr>
            <w:tcW w:type="dxa" w:w="17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Valori possibili</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Chi compila</w:t>
            </w:r>
          </w:p>
        </w:tc>
        <w:tc>
          <w:tcPr>
            <w:tcW w:type="dxa" w:w="9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Chi valida</w:t>
            </w:r>
          </w:p>
        </w:tc>
        <w:tc>
          <w:tcPr>
            <w:tcW w:type="dxa" w:w="22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Dove viene usato</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fiscal_category</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Categoria fiscale principale dell'evento o servizio.</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welfare_51tuir | fringe_benefit | formazione | hse | csr_esg | hr_discretionary | employee_paid | co_funded | no_payment</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Azienda cliente in fase config.</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Commercialista welfare</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Welfare Statement, piano dei conti, rendicontazione investor</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fiscal_subcategory</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Sottocategoria specifica all'interno della categoria principale.</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es. educazione, sanita_integrativa, tpl, previdenza, voucher, ecc.</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Azienda + KORA config</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Commercialista welfare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Welfare Statement, audit trail</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funding_source</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Soggetto che finanzia il flusso.</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company_funded | employee_funded | co_funded | no_payment</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programma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Commercialista + consulente del lavoro</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Separazione FUO, rendicontazione, piano dei conti</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budget_owner</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Proprietario del budget nel sistema contabile del cliente.</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welfare_budget | hr_budget | training_budget | hse_budget | csr_budget | personal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Azienda cliente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CFO / Controller cliente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Reporting cliente, riconciliazione interna</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tax_treatment_status</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Status del trattamento fiscale del servizio/evento.</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agevolato_51tuir | agevolato_entro_soglia | non_agevolato | da_validare | fuori_perimetro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Azienda + advisor</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Commercialista welfare</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Welfare Statement, audit trail</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fiscal_validation_status</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Stato della validazione professionale del trattamento fiscale.</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validated | validation_pending | requires_review | not_applicable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KORA (aggiornato da advisor)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Commercialista welfare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(blocco se pending su categorie critiche), audit trail</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advisor_validation_reference</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Riferimento al parere professionale scritto che valida la classificazione.</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codice parere + data + advisor</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KORA (inserito dal cliente)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Founder / compliance KORA</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Audit trail, fascicolo documentale per accertamento</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payroll_relevance_flag</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Indica se l'evento deve essere comunicato al consulente del lavoro del cliente per integrazione payroll.</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true | false | conditional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programma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Consulente del lavoro</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Welfare Statement (colonna payroll relevance), alert automatico</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welfare_statement_flag</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Indica se la transazione deve apparire nel Welfare Statement mensile del cliente.</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true | false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programma / Guardrails</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Consulente del lavoro</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Produzione Welfare Statement mensile</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fringe_threshold_relevance</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Indica se l'evento concorre al cumulato fringe benefit dell'anno per il lavoratore.</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true | false | partial</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categoria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Commercialista welfare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(controllo soglia), Welfare Statement</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invoice_required_flag</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Indica se è richiesta fattura fiscale da parte dell'azienda/partner per documentare il servizio.</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required | not_required | conditional</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partner</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Commercialista welfare</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(blocco se assente), audit trail</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partner_document_required_flag</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Indica il tipo di documento probatorio richiesto dal partner per attestare l'erogazione del servizio.</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fattura | attestato | dichiarazione | none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partner</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Commercialista welfare + consulente del lavoro</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audit trail, fascicolo accertamento</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payment_flow_type</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Tipo di flusso economico generato dall'evento.</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fuo_company | fuo_worker | co_funded | no_payment | employee_topup</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automatico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Commercialista welfare + legal PSD2</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Piano dei conti (conti d'ordine), rendicontazione, istituto di pagamento</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fuo_relevance_flag</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Indica se l'evento genera un Funds Under Orchestration (FUO) aziendale.</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true | false</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automatico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Commercialista welfare</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Conti d'ordine, rendicontazione investor, istituto di pagamento</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revenue_relevance_flag</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Indica se l'evento genera un ricavo KORA (KORA Fee).</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true | false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commerciale KORA</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CFO KORA / commercialista</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Piano dei conti KORA (classe 70), fatturazione SDI</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employee_taxable_risk_flag</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Segnala il rischio che l'evento sia imponibile per il lavoratore (superamento soglia, non-ammissibilità, ecc.).</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low | medium | high | requires_payroll_review</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automatico</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Consulente del lavoro</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Alert payroll, Welfare Statement, segnalazione obbligatoria</w:t>
            </w:r>
          </w:p>
        </w:tc>
      </w:tr>
      <w:tr>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guardrail_result</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Esito del Fiscal Guardrails Engine sull'evento/transazione.</w:t>
            </w:r>
          </w:p>
        </w:tc>
        <w:tc>
          <w:tcPr>
            <w:tcW w:type="dxa" w:w="17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approved | approved_with_warning | blocked | requires_advisor_validation | requires_payroll_review | outside_welfare_scope</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automatico</w:t>
            </w:r>
          </w:p>
        </w:tc>
        <w:tc>
          <w:tcPr>
            <w:tcW w:type="dxa" w:w="9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Sistema KORA</w:t>
            </w:r>
          </w:p>
        </w:tc>
        <w:tc>
          <w:tcPr>
            <w:tcW w:type="dxa" w:w="2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Audit trail, notifica lavoratore/azienda, log immutabile</w:t>
            </w:r>
          </w:p>
        </w:tc>
      </w:tr>
      <w:tr>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audit_trail_reference</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Identificativo univoco del log entry nell'audit trail KORA per questa transazione.</w:t>
            </w:r>
          </w:p>
        </w:tc>
        <w:tc>
          <w:tcPr>
            <w:tcW w:type="dxa" w:w="17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UUID generato dal sistema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Sistema KORA</w:t>
            </w:r>
          </w:p>
        </w:tc>
        <w:tc>
          <w:tcPr>
            <w:tcW w:type="dxa" w:w="9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Sistema KORA</w:t>
            </w:r>
          </w:p>
        </w:tc>
        <w:tc>
          <w:tcPr>
            <w:tcW w:type="dxa" w:w="2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Fascicolo accertamento, riconciliazione, DPO log</w:t>
            </w:r>
          </w:p>
        </w:tc>
      </w:tr>
    </w:tbl>
    <w:p>
      <w:pPr>
        <w:spacing w:after="60" w:before="60"/>
        <w:jc w:val="both"/>
      </w:pPr>
      <w:r>
        <w:rPr>
          <w:rFonts w:ascii="Arial" w:cs="Arial" w:eastAsia="Arial" w:hAnsi="Arial"/>
          <w:sz w:val="20"/>
          <w:szCs w:val="20"/>
        </w:rPr>
        <w:t xml:space="preserve"/>
      </w:r>
    </w:p>
    <w:p>
      <w:pPr>
        <w:spacing w:after="120" w:before="320"/>
      </w:pPr>
      <w:r>
        <w:rPr>
          <w:rFonts w:ascii="Arial" w:cs="Arial" w:eastAsia="Arial" w:hAnsi="Arial"/>
          <w:b/>
          <w:bCs/>
          <w:color w:val="2E75B6"/>
          <w:sz w:val="26"/>
          <w:szCs w:val="26"/>
        </w:rPr>
        <w:t xml:space="preserve">4. Fiscal Guardrails Engine — aggiornamento</w:t>
      </w:r>
    </w:p>
    <w:p>
      <w:pPr>
        <w:spacing w:after="80" w:before="80"/>
        <w:jc w:val="both"/>
      </w:pPr>
      <w:r>
        <w:rPr>
          <w:rFonts w:ascii="Arial" w:cs="Arial" w:eastAsia="Arial" w:hAnsi="Arial"/>
          <w:sz w:val="20"/>
          <w:szCs w:val="20"/>
        </w:rPr>
        <w:t xml:space="preserve">Il Fiscal Guardrails Engine è la componente software di KORA che applica, in tempo reale e prima dell'autorizzazione di ogni evento o transazione, una sequenza di controlli fiscali e operativi configurati per cliente. Il motore opera secondo il principio del fail-safe: in caso di dubbio o assenza di dati di validazione, blocca o rinvia in manual review, mai approva implicitamente. Le categorie fiscali descritte in sezione 2 determinano quali controlli specifici vengono attivati per ogni transazione.</w:t>
      </w:r>
    </w:p>
    <w:p>
      <w:pPr>
        <w:spacing w:after="100" w:before="220"/>
      </w:pPr>
      <w:r>
        <w:rPr>
          <w:rFonts w:ascii="Arial" w:cs="Arial" w:eastAsia="Arial" w:hAnsi="Arial"/>
          <w:b/>
          <w:bCs/>
          <w:color w:val="1F3864"/>
          <w:sz w:val="22"/>
          <w:szCs w:val="22"/>
        </w:rPr>
        <w:t xml:space="preserve">4.1 Sequenza dei controlli per categoria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200"/>
        <w:gridCol w:w="3800"/>
      </w:tblGrid>
      <w:tr>
        <w:tc>
          <w:tcPr>
            <w:tcW w:type="dxa" w:w="4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w:t>
            </w:r>
          </w:p>
        </w:tc>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Controllo</w:t>
            </w:r>
          </w:p>
        </w:tc>
        <w:tc>
          <w:tcPr>
            <w:tcW w:type="dxa" w:w="32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Logica applicata</w:t>
            </w:r>
          </w:p>
        </w:tc>
        <w:tc>
          <w:tcPr>
            <w:tcW w:type="dxa" w:w="38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Categorie rilevanti</w:t>
            </w:r>
          </w:p>
        </w:tc>
      </w:tr>
      <w:tr>
        <w:tc>
          <w:tcPr>
            <w:tcW w:type="dxa" w:w="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1</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Categoria fiscale configurata</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Verifica che il servizio richiesto appartenga a una categoria fiscale configurata nel programma del cliente e con status != 'da_validare' per categorie critiche. Se la categoria è assente o in stato 'validation_pending' su servizi art. 51 TUIR, blocca.</w:t>
            </w:r>
          </w:p>
        </w:tc>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Tutte (obbligatorio)</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2</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Budget disponibile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Verifica che il budget allocato alla categoria (FUO company-funded o sub-wallet) abbia capienza sufficiente per la transazione richiesta. In caso di capienza parziale: blocco o approvazione parziale secondo configurazione.</w:t>
            </w:r>
          </w:p>
        </w:tc>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1,2,3,4,7,8</w:t>
            </w:r>
          </w:p>
        </w:tc>
      </w:tr>
      <w:tr>
        <w:tc>
          <w:tcPr>
            <w:tcW w:type="dxa" w:w="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3</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Plafond individuale</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Verifica che l'importo richiesto non superi il plafond individuale annuo o mensile del lavoratore per la categoria. Se superato: blocco con indicazione del residuo.</w:t>
            </w:r>
          </w:p>
        </w:tc>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1,2,7,8</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4</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Soglia fringe benefit</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Per eventi con fringe_threshold_relevance=true: verifica che il cumulato annuo per il lavoratore non superi la soglia vigente (da aggiornare annualmente su comunicazione commercialista). Se prossima alla soglia: approved_with_warning. Se superata: blocco o requires_payroll_review.</w:t>
            </w:r>
          </w:p>
        </w:tc>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2 (principale), 1 (parziale)</w:t>
            </w:r>
          </w:p>
        </w:tc>
      </w:tr>
      <w:tr>
        <w:tc>
          <w:tcPr>
            <w:tcW w:type="dxa" w:w="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5</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Categoria omogenea</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Verifica che il lavoratore appartenga alla categoria omogenea autorizzata al programma e alle categorie di servizio specifiche. Se non appartiene: blocco.</w:t>
            </w:r>
          </w:p>
        </w:tc>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1 (obbligatorio per welfare puro)</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6</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Partner abilitato</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Verifica che il partner selezionato sia certificato, attivo, e abilitato alla specifica fiscal_category del servizio richiesto. Se non abilitato: blocco con suggerimento partner alternativo.</w:t>
            </w:r>
          </w:p>
        </w:tc>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1,2,3,4,7,8</w:t>
            </w:r>
          </w:p>
        </w:tc>
      </w:tr>
      <w:tr>
        <w:tc>
          <w:tcPr>
            <w:tcW w:type="dxa" w:w="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7</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Documento probatorio richiesto</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Verifica che il partner possa rilasciare il tipo di documento probatorio richiesto dalla configurazione (partner_document_required_flag). Se il partner non è configurato per quel tipo di documento: blocked.</w:t>
            </w:r>
          </w:p>
        </w:tc>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1 (obbligatorio), 2 (conditional), 3,4 (variabile)</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8</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Non convertibilità in denaro</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Verifica che il servizio/evento non configurino una disponibilità monetaria libera per il lavoratore. Qualsiasi transazione che risulti convertibile in denaro viene bloccata indipendentemente dagli altri controlli.</w:t>
            </w:r>
          </w:p>
        </w:tc>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1 (obbligatorio), 2 (obbligatorio)</w:t>
            </w:r>
          </w:p>
        </w:tc>
      </w:tr>
      <w:tr>
        <w:tc>
          <w:tcPr>
            <w:tcW w:type="dxa" w:w="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9</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Tracciabilità beneficiario</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Verifica che il lavoratore beneficiario sia identificato, la sua categoria omogenea sia registrata, e il log della transazione sia completo. Se il lavoratore non è identificato: blocco.</w:t>
            </w:r>
          </w:p>
        </w:tc>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1,2,7,8</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10</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Payroll relevance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Se payroll_relevance_flag=true per la categoria: aggiunge flag nel log e nel Welfare Statement. Se l'evento supera soglie che richiedono comunicazione payroll immediata: requires_payroll_review.</w:t>
            </w:r>
          </w:p>
        </w:tc>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1,2 (principali)</w:t>
            </w:r>
          </w:p>
        </w:tc>
      </w:tr>
      <w:tr>
        <w:tc>
          <w:tcPr>
            <w:tcW w:type="dxa" w:w="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11</w:t>
            </w:r>
          </w:p>
        </w:tc>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Compatibilità Welfare Statement</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Verifica che l'evento sia configurato per apparire nel Welfare Statement (welfare_statement_flag=true) se appartiene a categorie che lo richiedono. Mismatch genera warning.</w:t>
            </w:r>
          </w:p>
        </w:tc>
        <w:tc>
          <w:tcPr>
            <w:tcW w:type="dxa" w:w="3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1,2,8</w:t>
            </w:r>
          </w:p>
        </w:tc>
      </w:tr>
      <w:tr>
        <w:tc>
          <w:tcPr>
            <w:tcW w:type="dxa" w:w="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12</w:t>
            </w:r>
          </w:p>
        </w:tc>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7"/>
                <w:szCs w:val="17"/>
              </w:rPr>
              <w:t xml:space="preserve">Validazione advisor richiesta</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Per categorie con tax_treatment_status='da_validare' o fiscal_validation_status='validation_pending': evento non può essere processato come welfare; viene reindirizzato a requires_advisor_validation.</w:t>
            </w:r>
          </w:p>
        </w:tc>
        <w:tc>
          <w:tcPr>
            <w:tcW w:type="dxa" w:w="3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Tutte (categorie non validate)</w:t>
            </w:r>
          </w:p>
        </w:tc>
      </w:tr>
    </w:tbl>
    <w:p>
      <w:pPr>
        <w:spacing w:after="60" w:before="60"/>
        <w:jc w:val="both"/>
      </w:pPr>
      <w:r>
        <w:rPr>
          <w:rFonts w:ascii="Arial" w:cs="Arial" w:eastAsia="Arial" w:hAnsi="Arial"/>
          <w:sz w:val="20"/>
          <w:szCs w:val="20"/>
        </w:rPr>
        <w:t xml:space="preserve"/>
      </w:r>
    </w:p>
    <w:p>
      <w:pPr>
        <w:spacing w:after="100" w:before="220"/>
      </w:pPr>
      <w:r>
        <w:rPr>
          <w:rFonts w:ascii="Arial" w:cs="Arial" w:eastAsia="Arial" w:hAnsi="Arial"/>
          <w:b/>
          <w:bCs/>
          <w:color w:val="1F3864"/>
          <w:sz w:val="22"/>
          <w:szCs w:val="22"/>
        </w:rPr>
        <w:t xml:space="preserve">4.2 Esiti del Guardrail e azioni conseguenti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400"/>
        <w:gridCol w:w="1800"/>
      </w:tblGrid>
      <w:tr>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Esito</w:t>
            </w:r>
          </w:p>
        </w:tc>
        <w:tc>
          <w:tcPr>
            <w:tcW w:type="dxa" w:w="32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Significato</w:t>
            </w:r>
          </w:p>
        </w:tc>
        <w:tc>
          <w:tcPr>
            <w:tcW w:type="dxa" w:w="24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Azione operativa</w:t>
            </w:r>
          </w:p>
        </w:tc>
        <w:tc>
          <w:tcPr>
            <w:tcW w:type="dxa" w:w="18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Log / notifica</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approved</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Tutti i controlli superati. Transazione autorizzata. Categoria fiscale, budget, plafond, partner, documento e tutte le verifiche positive.</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Transazione eseguita. Istruzione tecnica inviata a istituto di pagamento. Audit trail aggiornato.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Log entry approved. Welfare Statement aggiornato.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approved_with_warning</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Transazione autorizzata ma con uno o più warning (es. soglia fringe al 90%, plafond quasi esaurito, documento probatorio in attesa di conferma).</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Transazione eseguita con flag warning. L'azienda / il consulente del lavoro ricevono notifica.</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Log entry approved_with_warning. Alert a referente aziendale.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blocked</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Almeno un controllo critico non superato (conversione in denaro, categoria non configurata, soglia fringe superata, partner non abilitato, budget insufficiente).</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Transazione non eseguita. Lavoratore riceve motivazione del blocco. Nessun payout disposto.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Log entry blocked con motivazione specifica. Nessun flusso economico.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requires_advisor_validation</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Categoria in stato 'da_validare' o servizio nuovo non classificato. Non può essere processato come welfare senza parere scritto del commercialista.</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Transazione sospesa. Alert a KORA e al cliente per avviare la validazione. Processabile solo dopo aggiornamento status a 'validated'.</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Log entry requires_advisor_validation. Alert programmatico.</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requires_payroll_review</w:t>
            </w:r>
          </w:p>
        </w:tc>
        <w:tc>
          <w:tcPr>
            <w:tcW w:type="dxa" w:w="3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Evento con payroll_relevance alta o superamento soglia che richiede comunicazione immediata al consulente del lavoro.</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Transazione sospesa o eseguita (secondo configurazione) con flag di revisione obbligatoria dal consulente del lavoro.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Log entry requires_payroll_review. Notifica a consulente del lavoro cliente.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7"/>
                <w:szCs w:val="17"/>
              </w:rPr>
              <w:t xml:space="preserve">outside_welfare_scope</w:t>
            </w:r>
          </w:p>
        </w:tc>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Il servizio o evento non rientra in nessuna categoria configurata come welfare aziendale nel programma del cliente (es. HR discretionary, CSR, no-payment).</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Evento registrato come dato algoritmico / Verified Action senza flusso economico welfare. Può generare altri flussi (HR budget) secondo configurazione.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Log entry outside_welfare_scope. Nessun Welfare Statement entry.</w:t>
            </w:r>
          </w:p>
        </w:tc>
      </w:tr>
    </w:tbl>
    <w:p>
      <w:pPr>
        <w:spacing w:after="60" w:before="60"/>
        <w:jc w:val="both"/>
      </w:pPr>
      <w:r>
        <w:rPr>
          <w:rFonts w:ascii="Arial" w:cs="Arial" w:eastAsia="Arial" w:hAnsi="Arial"/>
          <w:sz w:val="20"/>
          <w:szCs w:val="20"/>
        </w:rPr>
        <w:t xml:space="preserve"/>
      </w:r>
    </w:p>
    <w:p>
      <w:pPr>
        <w:spacing w:after="120" w:before="320"/>
      </w:pPr>
      <w:r>
        <w:rPr>
          <w:rFonts w:ascii="Arial" w:cs="Arial" w:eastAsia="Arial" w:hAnsi="Arial"/>
          <w:b/>
          <w:bCs/>
          <w:color w:val="2E75B6"/>
          <w:sz w:val="26"/>
          <w:szCs w:val="26"/>
        </w:rPr>
        <w:t xml:space="preserve">5. Welfare Statement — struttura aggiornata</w:t>
      </w:r>
    </w:p>
    <w:p>
      <w:pPr>
        <w:spacing w:after="80" w:before="80"/>
        <w:jc w:val="both"/>
      </w:pPr>
      <w:r>
        <w:rPr>
          <w:rFonts w:ascii="Arial" w:cs="Arial" w:eastAsia="Arial" w:hAnsi="Arial"/>
          <w:sz w:val="20"/>
          <w:szCs w:val="20"/>
        </w:rPr>
        <w:t xml:space="preserve">Il Welfare Statement è il documento di rendicontazione mensile prodotto da KORA per ciascun cliente azienda, destinato al consulente del lavoro del cliente per l'integrazione con il processo payroll. Non è un parere fiscale autonomo né un documento di certificazione del trattamento tributario: è uno strumento di supporto, riconciliazione e documentazione probatoria. La classificazione fiscale indicata nel Welfare Statement riflette la configurazione del programma validata dall'advisor del cliente.</w:t>
      </w:r>
    </w:p>
    <w:p>
      <w:pPr>
        <w:pBdr>
          <w:left w:val="single" w:color="2E75B6" w:sz="12"/>
        </w:pBdr>
        <w:spacing w:after="60" w:before="80"/>
        <w:ind w:left="360"/>
      </w:pPr>
      <w:r>
        <w:rPr>
          <w:rFonts w:ascii="Arial" w:cs="Arial" w:eastAsia="Arial" w:hAnsi="Arial"/>
          <w:b/>
          <w:bCs/>
          <w:color w:val="2E75B6"/>
          <w:sz w:val="18"/>
          <w:szCs w:val="18"/>
        </w:rPr>
        <w:t xml:space="preserve">DISCLAIMER OBBLIGATORIO NEL WELFARE STATEMENT </w:t>
      </w:r>
      <w:r>
        <w:rPr>
          <w:rFonts w:ascii="Arial" w:cs="Arial" w:eastAsia="Arial" w:hAnsi="Arial"/>
          <w:i/>
          <w:iCs/>
          <w:color w:val="444444"/>
          <w:sz w:val="18"/>
          <w:szCs w:val="18"/>
        </w:rPr>
        <w:t xml:space="preserve">Il Welfare Statement KORA è un documento di supporto alla rendicontazione e alla riconciliazione payroll. Le classificazioni fiscali indicate riflettono la configurazione del programma welfare dichiarata dall'azienda e validata dai propri advisor (commercialista welfare, consulente del lavoro). KORA non certifica il trattamento fiscale. L'azienda resta responsabile della correttezza della qualificazione fiscale dei benefit erogati ai propri dipendenti.</w:t>
      </w:r>
    </w:p>
    <w:p>
      <w:pPr>
        <w:spacing w:after="100" w:before="220"/>
      </w:pPr>
      <w:r>
        <w:rPr>
          <w:rFonts w:ascii="Arial" w:cs="Arial" w:eastAsia="Arial" w:hAnsi="Arial"/>
          <w:b/>
          <w:bCs/>
          <w:color w:val="1F3864"/>
          <w:sz w:val="22"/>
          <w:szCs w:val="22"/>
        </w:rPr>
        <w:t xml:space="preserve">5.1 Campi del Welfare Statement mensile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800"/>
      </w:tblGrid>
      <w:tr>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Campo</w:t>
            </w:r>
          </w:p>
        </w:tc>
        <w:tc>
          <w:tcPr>
            <w:tcW w:type="dxa" w:w="26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Fonte / compilazione</w:t>
            </w:r>
          </w:p>
        </w:tc>
        <w:tc>
          <w:tcPr>
            <w:tcW w:type="dxa" w:w="48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Note operative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Identificativo lavoratore (pseudonimizzato)</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KORA — pseudonimizzazione su ID payroll</w:t>
            </w:r>
          </w:p>
        </w:tc>
        <w:tc>
          <w:tcPr>
            <w:tcW w:type="dxa" w:w="4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Non contiene nome/cognome nel documento di default. Il consulente del lavoro effettua il de-pseudonimizzato con la propria chiave su accordo con l'azienda. Formato validato con DPO.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Periodo di riferimento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Sistema KORA</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Mese/anno di competenza. La competenza segue il criterio del servizio fruito, non del pagamento.</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fiscal_category</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programma</w:t>
            </w:r>
          </w:p>
        </w:tc>
        <w:tc>
          <w:tcPr>
            <w:tcW w:type="dxa" w:w="4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Categoria fiscale principale (es. welfare_51tuir, fringe_benefit). Dichiarata dall'azienda, validata da advisor.</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fiscal_subcategory</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programma</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Sottocategoria specifica (es. sanita_integrativa, educazione). Aiuta il consulente del lavoro a identificare la natura del benefit.</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funding_source</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automatico</w:t>
            </w:r>
          </w:p>
        </w:tc>
        <w:tc>
          <w:tcPr>
            <w:tcW w:type="dxa" w:w="4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company_funded | co_funded | employee_funded. I co-funded mostrano separazione quote.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budget_owner</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programma</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Identifica il budget aziendale di riferimento (welfare, HR, training, HSE).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Partner</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Database KORA</w:t>
            </w:r>
          </w:p>
        </w:tc>
        <w:tc>
          <w:tcPr>
            <w:tcW w:type="dxa" w:w="4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Ragione sociale del partner certificato che ha erogato il servizio.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Servizio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Prenotazione lavoratore + configurazione partner</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Descrizione del servizio erogato e relativa categoria fiscale.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Data fruizione</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Log sistema</w:t>
            </w:r>
          </w:p>
        </w:tc>
        <w:tc>
          <w:tcPr>
            <w:tcW w:type="dxa" w:w="4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Data di erogazione effettiva del servizio (non di prenotazione né di payout).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Importo totale servizio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Transazione autorizzata</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Importo lordo del servizio. In caso di co-funded: importo totale.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Quota aziendale (FUO)</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 separazione flussi</w:t>
            </w:r>
          </w:p>
        </w:tc>
        <w:tc>
          <w:tcPr>
            <w:tcW w:type="dxa" w:w="4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Parte finanziata dall'azienda tramite FUO welfare. Può essere uguale all'importo totale o parziale (co-funded).</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Quota lavoratore (personale)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Sub-wallet lavoratore</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Parte finanziata dal lavoratore con fondi propri (co-funded o employee-paid). Separata dalla quota aziendale.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Tipo documento probatorio</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partner</w:t>
            </w:r>
          </w:p>
        </w:tc>
        <w:tc>
          <w:tcPr>
            <w:tcW w:type="dxa" w:w="4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Tipo di documento rilasciato dal partner (fattura, attestato, dichiarazione). Riferimento all'allegato in audit trail.</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fiscal_validation_status</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categoria</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validated | validation_pending | requires_review. Il consulente del lavoro è alertato sui pending.</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guardrail_result</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automatico</w:t>
            </w:r>
          </w:p>
        </w:tc>
        <w:tc>
          <w:tcPr>
            <w:tcW w:type="dxa" w:w="4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Esito del controllo automatico. Tutte le transazioni nel Welfare Statement sono approved o approved_with_warning.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payroll_relevance</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categoria + Guardrails</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true / false / conditional. Indica al consulente del lavoro se l'evento impatta il cedolino.</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fringe_threshold_contribution</w:t>
            </w:r>
          </w:p>
        </w:tc>
        <w:tc>
          <w:tcPr>
            <w:tcW w:type="dxa" w:w="2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Guardrails automatico</w:t>
            </w:r>
          </w:p>
        </w:tc>
        <w:tc>
          <w:tcPr>
            <w:tcW w:type="dxa" w:w="4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Importo che l'evento aggiunge al cumulato fringe benefit dell'anno per il lavoratore. Utile per il monitoraggio del consulente del lavoro.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Note per il consulente del lavoro</w:t>
            </w:r>
          </w:p>
        </w:tc>
        <w:tc>
          <w:tcPr>
            <w:tcW w:type="dxa" w:w="2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KORA system + eventuali flag</w:t>
            </w:r>
          </w:p>
        </w:tc>
        <w:tc>
          <w:tcPr>
            <w:tcW w:type="dxa" w:w="4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Note automatiche generate dal sistema per eventi con warning, payroll relevance, superamento soglie prossime o richieste di review.</w:t>
            </w:r>
          </w:p>
        </w:tc>
      </w:tr>
    </w:tbl>
    <w:p>
      <w:pPr>
        <w:spacing w:after="60" w:before="60"/>
        <w:jc w:val="both"/>
      </w:pPr>
      <w:r>
        <w:rPr>
          <w:rFonts w:ascii="Arial" w:cs="Arial" w:eastAsia="Arial" w:hAnsi="Arial"/>
          <w:sz w:val="20"/>
          <w:szCs w:val="20"/>
        </w:rPr>
        <w:t xml:space="preserve"/>
      </w:r>
    </w:p>
    <w:p>
      <w:pPr>
        <w:spacing w:after="120" w:before="320"/>
      </w:pPr>
      <w:r>
        <w:rPr>
          <w:rFonts w:ascii="Arial" w:cs="Arial" w:eastAsia="Arial" w:hAnsi="Arial"/>
          <w:b/>
          <w:bCs/>
          <w:color w:val="2E75B6"/>
          <w:sz w:val="26"/>
          <w:szCs w:val="26"/>
        </w:rPr>
        <w:t xml:space="preserve">6. Integrazione con il Single Vendor Administrative Model</w:t>
      </w:r>
    </w:p>
    <w:p>
      <w:pPr>
        <w:spacing w:after="80" w:before="80"/>
        <w:jc w:val="both"/>
      </w:pPr>
      <w:r>
        <w:rPr>
          <w:rFonts w:ascii="Arial" w:cs="Arial" w:eastAsia="Arial" w:hAnsi="Arial"/>
          <w:sz w:val="20"/>
          <w:szCs w:val="20"/>
        </w:rPr>
        <w:t xml:space="preserve">Le categorie fiscali si integrano con il SVAM in modo specifico per ciascuna famiglia. La tabella seguente chiarisce come ogni categoria impatta i flussi economici, il ruolo di KORA come centralizzatore, e le grandezze economiche del modello.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200"/>
        <w:gridCol w:w="1200"/>
        <w:gridCol w:w="3000"/>
      </w:tblGrid>
      <w:tr>
        <w:tc>
          <w:tcPr>
            <w:tcW w:type="dxa" w:w="12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Categoria</w:t>
            </w:r>
          </w:p>
        </w:tc>
        <w:tc>
          <w:tcPr>
            <w:tcW w:type="dxa" w:w="14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FUO (tipo)</w:t>
            </w:r>
          </w:p>
        </w:tc>
        <w:tc>
          <w:tcPr>
            <w:tcW w:type="dxa" w:w="14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KORA Fees?</w:t>
            </w:r>
          </w:p>
        </w:tc>
        <w:tc>
          <w:tcPr>
            <w:tcW w:type="dxa" w:w="12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Partner Payout?</w:t>
            </w:r>
          </w:p>
        </w:tc>
        <w:tc>
          <w:tcPr>
            <w:tcW w:type="dxa" w:w="12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Welfare Statement?</w:t>
            </w:r>
          </w:p>
        </w:tc>
        <w:tc>
          <w:tcPr>
            <w:tcW w:type="dxa" w:w="30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Note SVAM specifiche</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1. Welfare 51 TUIR</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FUO company-funded (escrow aziendale)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management fee, subscription</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su istruzione tecnica KORA a istituto di pagamento</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obbligatorio</w:t>
            </w:r>
          </w:p>
        </w:tc>
        <w:tc>
          <w:tcPr>
            <w:tcW w:type="dxa" w:w="3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Caso principale del SVAM. KORA è interfaccia unica. Budget in escrow. Partner resta prestatore effettivo. Welfare Statement payroll-ready.</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2. Fringe benefit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FUO company-funded (se in programma)</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incluso nella subscription/fee</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VAR — dipende dal servizio</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con fringe flag</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Monitoraggio soglia obbligatorio. Il Guardrails blocca o avvisa al raggiungimento della soglia annuale vigente. Payroll relevance alta.</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3. Formazione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FUO company-funded (se in perimetro welfare) oppure HR budget fuori SVAM welfare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VAR — incluso se in programma</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VAR</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VAR — solo se in perimetro welfare configurato</w:t>
            </w:r>
          </w:p>
        </w:tc>
        <w:tc>
          <w:tcPr>
            <w:tcW w:type="dxa" w:w="3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Se la formazione è fuori dal perimetro welfare, non genera FUO welfare né Welfare Statement. Può generare flusso HR budget separato orchestrato da KORA con configurazione distinta.</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4. HSE budget</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VAR — può essere HR budget o welfare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VAR</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VAR</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VAR — solo se in perimetro welfare</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La distinzione tra formazione sicurezza (costo aziendale) e wellbeing (potenzialmente welfare) deve essere esplicitata nel programma del cliente prima della configurazione KORA.</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5. CSR / KIP</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NO — KIP è flusso diretto azienda → progetto, fuori da KORA payment</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eventuale fee di reporting/tracking KORA</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NO — KORA non gestisce il flusso KIP</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NO</w:t>
            </w:r>
          </w:p>
        </w:tc>
        <w:tc>
          <w:tcPr>
            <w:tcW w:type="dxa" w:w="3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Il KORA Impact Pledge non transita dall'istituto di pagamento KORA. KORA traccia il commitment e l'impatto dichiarato. Il flusso finanziario è esterno alla piattaforma.</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6. HR discretionary</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NO — non genera FUO welfare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VAR — se orchestrazione HR budget</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VAR</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NO</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Se il cliente vuole che KORA orchestri il budget HR discretionary, è necessaria configurazione separata non welfare. Non genera Welfare Statement. Non è agevolato per il lavoratore.</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7. Employee-paid</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FUO worker-funded (sub-wallet personale lavoratore)</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service fee top-up è ricavo KORA</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payout dal sub-wallet personale</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NO — non è welfare aziendale</w:t>
            </w:r>
          </w:p>
        </w:tc>
        <w:tc>
          <w:tcPr>
            <w:tcW w:type="dxa" w:w="3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Il sub-wallet personale è separato dall'escrow aziendale. KORA fattura la service fee top-up come ricavo proprio. Il flusso non è FUO company-funded.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8. Co-funded</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FUO company-funded (quota aziendale) + FUO worker-funded (quota lavoratore)</w:t>
            </w:r>
          </w:p>
        </w:tc>
        <w:tc>
          <w:tcPr>
            <w:tcW w:type="dxa" w:w="1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incluso nella fee di programma</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payout combinato</w:t>
            </w:r>
          </w:p>
        </w:tc>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con separazione quote</w:t>
            </w:r>
          </w:p>
        </w:tc>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 due flussi sono separati nell'istituto di pagamento. Il Welfare Statement mostra esplicitamente la quota aziendale e la quota lavoratore.</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9. Non-monetary</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Nessun FUO</w:t>
            </w:r>
          </w:p>
        </w:tc>
        <w:tc>
          <w:tcPr>
            <w:tcW w:type="dxa" w:w="1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SÌ — incluso nella subscription se eventi tracciati</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NO</w:t>
            </w:r>
          </w:p>
        </w:tc>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NO</w:t>
            </w:r>
          </w:p>
        </w:tc>
        <w:tc>
          <w:tcPr>
            <w:tcW w:type="dxa" w:w="3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Evento registrato come Verified Action. Contribuisce al KORA Index. Nessun flusso economico. Nessun documento probatorio richiesto. Privacy review obbligatoria per categorie di eventi sensibili.</w:t>
            </w:r>
          </w:p>
        </w:tc>
      </w:tr>
    </w:tbl>
    <w:p>
      <w:pPr>
        <w:spacing w:after="60" w:before="60"/>
        <w:jc w:val="both"/>
      </w:pPr>
      <w:r>
        <w:rPr>
          <w:rFonts w:ascii="Arial" w:cs="Arial" w:eastAsia="Arial" w:hAnsi="Arial"/>
          <w:sz w:val="20"/>
          <w:szCs w:val="20"/>
        </w:rPr>
        <w:t xml:space="preserve"/>
      </w:r>
    </w:p>
    <w:p>
      <w:pPr>
        <w:spacing w:after="120" w:before="320"/>
      </w:pPr>
      <w:r>
        <w:rPr>
          <w:rFonts w:ascii="Arial" w:cs="Arial" w:eastAsia="Arial" w:hAnsi="Arial"/>
          <w:b/>
          <w:bCs/>
          <w:color w:val="2E75B6"/>
          <w:sz w:val="26"/>
          <w:szCs w:val="26"/>
        </w:rPr>
        <w:t xml:space="preserve">7. Tabella rischi / mitigazioni — layer fiscale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
        <w:gridCol w:w="1600"/>
        <w:gridCol w:w="1600"/>
        <w:gridCol w:w="1800"/>
        <w:gridCol w:w="1800"/>
        <w:gridCol w:w="1800"/>
        <w:gridCol w:w="450"/>
      </w:tblGrid>
      <w:tr>
        <w:tc>
          <w:tcPr>
            <w:tcW w:type="dxa" w:w="35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w:t>
            </w:r>
          </w:p>
        </w:tc>
        <w:tc>
          <w:tcPr>
            <w:tcW w:type="dxa" w:w="16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Rischio</w:t>
            </w:r>
          </w:p>
        </w:tc>
        <w:tc>
          <w:tcPr>
            <w:tcW w:type="dxa" w:w="16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Impatto</w:t>
            </w:r>
          </w:p>
        </w:tc>
        <w:tc>
          <w:tcPr>
            <w:tcW w:type="dxa" w:w="18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Guardrail KORA</w:t>
            </w:r>
          </w:p>
        </w:tc>
        <w:tc>
          <w:tcPr>
            <w:tcW w:type="dxa" w:w="18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Owner</w:t>
            </w:r>
          </w:p>
        </w:tc>
        <w:tc>
          <w:tcPr>
            <w:tcW w:type="dxa" w:w="18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Validazione richiesta</w:t>
            </w:r>
          </w:p>
        </w:tc>
        <w:tc>
          <w:tcPr>
            <w:tcW w:type="dxa" w:w="45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Residuo</w:t>
            </w:r>
          </w:p>
        </w:tc>
      </w:tr>
      <w:tr>
        <w:tc>
          <w:tcPr>
            <w:tcW w:type="dxa" w:w="3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R1</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Errata classificazione welfare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L'AdE riqualifica le erogazioni come retribuzione: IRPEF + contributi arretrati + sanzioni per il cliente azienda.</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Categoria 'da_validare' bloccata automaticamente. Status validation_pending impedisce l'approvazione su categorie critiche.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Azienda cliente + commercialista welfare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Parere scritto commercialista welfare per ogni nuova categoria. Revisione periodica normativa.</w:t>
            </w:r>
          </w:p>
        </w:tc>
        <w:tc>
          <w:tcPr>
            <w:tcW w:type="dxa" w:w="4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Basso</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R2</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Fringe benefit threshold breach</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Importo aggiuntivo diventa imponibile per il lavoratore; oneri previdenziali per l'azienda; comunicazione payroll tardiva.</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Monitoraggio cumulato annuo per lavoratore. Alert a soglia 80% e 95%. Blocco automatico o requires_payroll_review a soglia 100%.</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KORA Guardrails + consulente del lavoro cliente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Soglia aggiornata annualmente su comunicazione formale del consulente del lavoro o commercialista.</w:t>
            </w:r>
          </w:p>
        </w:tc>
        <w:tc>
          <w:tcPr>
            <w:tcW w:type="dxa" w:w="4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Basso se aggiornato</w:t>
            </w:r>
          </w:p>
        </w:tc>
      </w:tr>
      <w:tr>
        <w:tc>
          <w:tcPr>
            <w:tcW w:type="dxa" w:w="3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R3</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Riqualifica come retribuzione monetaria</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Perdita del trattamento agevolato; IRPEF + contributi + sanzioni.</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Controllo non-convertibilità su ogni transazione. Blocco immediato su qualsiasi configurazione che risulti convertibile in denaro.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KORA Guardrails (fail-safe)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Parere consulente del lavoro sulla struttura del programma. Controllo annuale.</w:t>
            </w:r>
          </w:p>
        </w:tc>
        <w:tc>
          <w:tcPr>
            <w:tcW w:type="dxa" w:w="4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Molto basso</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R4</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Documentazione probatoria insufficiente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Il fascicolo non sostiene la qualifica fiscale in accertamento AdE o ITL/INPS.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Controllo partner_document_required_flag prima di ogni autorizzazione. Blocco se documento non configurato.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Partner certificato + KORA audit trail</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Definizione del tipo di documento richiesto per ogni categoria, validata da commercialista welfare, prima del lancio.</w:t>
            </w:r>
          </w:p>
        </w:tc>
        <w:tc>
          <w:tcPr>
            <w:tcW w:type="dxa" w:w="4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Basso</w:t>
            </w:r>
          </w:p>
        </w:tc>
      </w:tr>
      <w:tr>
        <w:tc>
          <w:tcPr>
            <w:tcW w:type="dxa" w:w="3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R5</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Partner non abilitato alla categoria</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Il servizio erogato non è nella categoria fiscale abilitata per quel partner: rischio di classifica errata.</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Controllo partner abilitato per fiscal_category specifico. Blocco se mismatch.</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KORA network + advisor accreditato</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Certificazione del partner per categorie specifiche. Review annuale abilitazioni.</w:t>
            </w:r>
          </w:p>
        </w:tc>
        <w:tc>
          <w:tcPr>
            <w:tcW w:type="dxa" w:w="4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Basso</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R6</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Uso di budget welfare per servizio non ammissibile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Servizio non rientra nelle categorie ammesse art. 51 TUIR: erode il beneficio fiscale del cliente.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Configurazione programma limita le categorie ammesse per ogni lavoratore. Servizi non in catalogo non sono selezionabili.</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Azienda cliente in configurazione + Guardrails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Validazione del catalogo servizi da parte di commercialista welfare prima del lancio.</w:t>
            </w:r>
          </w:p>
        </w:tc>
        <w:tc>
          <w:tcPr>
            <w:tcW w:type="dxa" w:w="4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Basso</w:t>
            </w:r>
          </w:p>
        </w:tc>
      </w:tr>
      <w:tr>
        <w:tc>
          <w:tcPr>
            <w:tcW w:type="dxa" w:w="3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R7</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Confusione tra welfare, HR budget e CSR</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Budget di natura diversa contabilizzati nello stesso perimetro: rischio di misclassification nei report.</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Categorie separate nel sistema (fiscal_category distinta per welfare, HR, CSR). Welfare Statement include solo welfare.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Azienda cliente in configurazione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Il consulente del lavoro deve validare la separazione dei perimetri nel programma.</w:t>
            </w:r>
          </w:p>
        </w:tc>
        <w:tc>
          <w:tcPr>
            <w:tcW w:type="dxa" w:w="4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Basso con config corretta</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R8</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Employee-paid scambiato per welfare aziendale</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Il top-up personale del lavoratore genera un flusso che viene erroneamente rendicontato come welfare aziendale.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Wallet personale (FUO worker-funded) separato da escrow aziendale (FUO company-funded). Etichettatura distinta nei log.</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KORA architettura payment + Guardrails</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Parere commercialista welfare e legal PSD2 sulla separazione dei wallet.</w:t>
            </w:r>
          </w:p>
        </w:tc>
        <w:tc>
          <w:tcPr>
            <w:tcW w:type="dxa" w:w="4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Molto basso</w:t>
            </w:r>
          </w:p>
        </w:tc>
      </w:tr>
      <w:tr>
        <w:tc>
          <w:tcPr>
            <w:tcW w:type="dxa" w:w="3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R9</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Co-funded non correttamente separato</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Le due quote (aziendale e personale) si mescolano: rischio di riqualifica della quota aziendale.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Separazione tecnica dei flussi nell'istituto di pagamento. Welfare Statement mostra esplicitamente entrambe le quote.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KORA + istituto di pagamento partner</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Validazione specifica del commercialista welfare sulla struttura co-funded.</w:t>
            </w:r>
          </w:p>
        </w:tc>
        <w:tc>
          <w:tcPr>
            <w:tcW w:type="dxa" w:w="4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Basso</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R10</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Mancanza di payroll reconciliation</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Il Welfare Statement non viene integrato nel cedolino: divergenza tra la rendicontazione KORA e il payroll del cliente.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Welfare Statement in formato payroll-ready. Flag payroll_relevance esplicito. Alert automatico al consulente del lavoro.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Consulente del lavoro cliente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Accordo procedurale con il consulente del lavoro del cliente prima del lancio. Test di integrazione.</w:t>
            </w:r>
          </w:p>
        </w:tc>
        <w:tc>
          <w:tcPr>
            <w:tcW w:type="dxa" w:w="4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Medio senza accordo</w:t>
            </w:r>
          </w:p>
        </w:tc>
      </w:tr>
      <w:tr>
        <w:tc>
          <w:tcPr>
            <w:tcW w:type="dxa" w:w="3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R11</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Perdita del beneficio fiscale per il cliente</w:t>
            </w:r>
          </w:p>
        </w:tc>
        <w:tc>
          <w:tcPr>
            <w:tcW w:type="dxa" w:w="16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Il trattamento agevolato decade per un'intera annualità per errori sistematici di classificazione o documentazione.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Architettura di controllo multicapa (Guardrails + audit trail + Welfare Statement + pareri advisor) riduce la probabilità.</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Azienda cliente + advisor del cliente. KORA supporta con documentazione.</w:t>
            </w:r>
          </w:p>
        </w:tc>
        <w:tc>
          <w:tcPr>
            <w:tcW w:type="dxa" w:w="1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Revisione annuale del programma welfare con commercialista welfare e consulente del lavoro.</w:t>
            </w:r>
          </w:p>
        </w:tc>
        <w:tc>
          <w:tcPr>
            <w:tcW w:type="dxa" w:w="45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Basso con architettura corretta</w:t>
            </w:r>
          </w:p>
        </w:tc>
      </w:tr>
      <w:tr>
        <w:tc>
          <w:tcPr>
            <w:tcW w:type="dxa" w:w="3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center"/>
            </w:pPr>
            <w:r>
              <w:rPr>
                <w:rFonts w:ascii="Arial" w:cs="Arial" w:eastAsia="Arial" w:hAnsi="Arial"/>
                <w:b/>
                <w:bCs/>
                <w:color w:val="000000"/>
                <w:sz w:val="17"/>
                <w:szCs w:val="17"/>
              </w:rPr>
              <w:t xml:space="preserve">R12</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Rischio sanzionatorio in audit</w:t>
            </w:r>
          </w:p>
        </w:tc>
        <w:tc>
          <w:tcPr>
            <w:tcW w:type="dxa" w:w="16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L'AdE o ITL/INPS riscontra irregolarità durante accertamento. Risposta tardiva o incompleta aggrava il rischio.</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Audit trail immutabile. Produzione fascicolo documentale in 5 gg lavorativi. Pareri scritti advisor allegati.</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KORA (produzione fascicolo) + azienda cliente (interlocuzione con AdE)</w:t>
            </w:r>
          </w:p>
        </w:tc>
        <w:tc>
          <w:tcPr>
            <w:tcW w:type="dxa" w:w="1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Fascicolo documentale sempre aggiornato. Audit readiness verificata nel primo audit interno annuale.</w:t>
            </w:r>
          </w:p>
        </w:tc>
        <w:tc>
          <w:tcPr>
            <w:tcW w:type="dxa" w:w="45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4"/>
                <w:szCs w:val="14"/>
              </w:rPr>
              <w:t xml:space="preserve">Basso con fascicolo completo</w:t>
            </w:r>
          </w:p>
        </w:tc>
      </w:tr>
    </w:tbl>
    <w:p>
      <w:pPr>
        <w:spacing w:after="60" w:before="60"/>
        <w:jc w:val="both"/>
      </w:pPr>
      <w:r>
        <w:rPr>
          <w:rFonts w:ascii="Arial" w:cs="Arial" w:eastAsia="Arial" w:hAnsi="Arial"/>
          <w:sz w:val="20"/>
          <w:szCs w:val="20"/>
        </w:rPr>
        <w:t xml:space="preserve"/>
      </w:r>
    </w:p>
    <w:p>
      <w:pPr>
        <w:spacing w:after="120" w:before="320"/>
      </w:pPr>
      <w:r>
        <w:rPr>
          <w:rFonts w:ascii="Arial" w:cs="Arial" w:eastAsia="Arial" w:hAnsi="Arial"/>
          <w:b/>
          <w:bCs/>
          <w:color w:val="2E75B6"/>
          <w:sz w:val="26"/>
          <w:szCs w:val="26"/>
        </w:rPr>
        <w:t xml:space="preserve">8. Domande specifiche per gli advisor — layer fiscale</w:t>
      </w:r>
    </w:p>
    <w:p>
      <w:pPr>
        <w:spacing w:after="100" w:before="220"/>
      </w:pPr>
      <w:r>
        <w:rPr>
          <w:rFonts w:ascii="Arial" w:cs="Arial" w:eastAsia="Arial" w:hAnsi="Arial"/>
          <w:b/>
          <w:bCs/>
          <w:color w:val="1F3864"/>
          <w:sz w:val="22"/>
          <w:szCs w:val="22"/>
        </w:rPr>
        <w:t xml:space="preserve">8A. Commercialista welfare</w:t>
      </w:r>
    </w:p>
    <w:p>
      <w:pPr>
        <w:pStyle w:val="ListParagraph"/>
        <w:numPr>
          <w:ilvl w:val="0"/>
          <w:numId w:val="2"/>
        </w:numPr>
        <w:spacing w:after="40" w:before="40"/>
      </w:pPr>
      <w:r>
        <w:rPr>
          <w:rFonts w:ascii="Arial" w:cs="Arial" w:eastAsia="Arial" w:hAnsi="Arial"/>
          <w:sz w:val="19"/>
          <w:szCs w:val="19"/>
        </w:rPr>
        <w:t xml:space="preserve">Quali delle categorie descritte in questa sezione (welfare ex art. 51 TUIR, fringe benefit, formazione, HSE, CSR, HR discretionary) KORA può gestire nel perimetro agevolato? Per ciascuna categoria che non rientra nell'agevolazione, come deve essere configurata nel sistema (tax_treatment_status corretto)?</w:t>
      </w:r>
    </w:p>
    <w:p>
      <w:pPr>
        <w:pStyle w:val="ListParagraph"/>
        <w:numPr>
          <w:ilvl w:val="0"/>
          <w:numId w:val="2"/>
        </w:numPr>
        <w:spacing w:after="40" w:before="40"/>
      </w:pPr>
      <w:r>
        <w:rPr>
          <w:rFonts w:ascii="Arial" w:cs="Arial" w:eastAsia="Arial" w:hAnsi="Arial"/>
          <w:sz w:val="19"/>
          <w:szCs w:val="19"/>
        </w:rPr>
        <w:t xml:space="preserve">Per ciascuna categoria di servizio welfare: quale tipo di documento probatorio (fattura, attestato di frequenza, dichiarazione del partner) è necessario e sufficiente a supportare la qualifica fiscale in caso di accertamento AdE o ITL/INPS?</w:t>
      </w:r>
    </w:p>
    <w:p>
      <w:pPr>
        <w:pStyle w:val="ListParagraph"/>
        <w:numPr>
          <w:ilvl w:val="0"/>
          <w:numId w:val="2"/>
        </w:numPr>
        <w:spacing w:after="40" w:before="40"/>
      </w:pPr>
      <w:r>
        <w:rPr>
          <w:rFonts w:ascii="Arial" w:cs="Arial" w:eastAsia="Arial" w:hAnsi="Arial"/>
          <w:sz w:val="19"/>
          <w:szCs w:val="19"/>
        </w:rPr>
        <w:t xml:space="preserve">Come distinguere operativamente welfare puro (art. 51 c.2 TUIR), fringe benefit (art. 51 c.3 TUIR), formazione deducibile (art. 95 TUIR) e HR discretionary (nessuna agevolazione)? Quali criteri oggettivi guidano la classificazione?</w:t>
      </w:r>
    </w:p>
    <w:p>
      <w:pPr>
        <w:pStyle w:val="ListParagraph"/>
        <w:numPr>
          <w:ilvl w:val="0"/>
          <w:numId w:val="2"/>
        </w:numPr>
        <w:spacing w:after="40" w:before="40"/>
      </w:pPr>
      <w:r>
        <w:rPr>
          <w:rFonts w:ascii="Arial" w:cs="Arial" w:eastAsia="Arial" w:hAnsi="Arial"/>
          <w:sz w:val="19"/>
          <w:szCs w:val="19"/>
        </w:rPr>
        <w:t xml:space="preserve">Come trattare fiscalmente le erogazioni co-funded? La quota aziendale mantiene il trattamento welfare se la quota personale è separata? Quali condizioni devono essere soddisfatte?</w:t>
      </w:r>
    </w:p>
    <w:p>
      <w:pPr>
        <w:pStyle w:val="ListParagraph"/>
        <w:numPr>
          <w:ilvl w:val="0"/>
          <w:numId w:val="2"/>
        </w:numPr>
        <w:spacing w:after="40" w:before="40"/>
      </w:pPr>
      <w:r>
        <w:rPr>
          <w:rFonts w:ascii="Arial" w:cs="Arial" w:eastAsia="Arial" w:hAnsi="Arial"/>
          <w:sz w:val="19"/>
          <w:szCs w:val="19"/>
        </w:rPr>
        <w:t xml:space="preserve">Come trattare il top-up personale del lavoratore (employee-paid)? Ha rilevanza fiscale per il lavoratore o è pura spesa personale? La service fee KORA sul top-up è soggetta a IVA 22%?</w:t>
      </w:r>
    </w:p>
    <w:p>
      <w:pPr>
        <w:pStyle w:val="ListParagraph"/>
        <w:numPr>
          <w:ilvl w:val="0"/>
          <w:numId w:val="2"/>
        </w:numPr>
        <w:spacing w:after="40" w:before="40"/>
      </w:pPr>
      <w:r>
        <w:rPr>
          <w:rFonts w:ascii="Arial" w:cs="Arial" w:eastAsia="Arial" w:hAnsi="Arial"/>
          <w:sz w:val="19"/>
          <w:szCs w:val="19"/>
        </w:rPr>
        <w:t xml:space="preserve">Quali soglie fringe benefit (art. 51 c.3 TUIR) si applicano per l'anno corrente e quali variazioni legislative sono attese? Come strutturare il processo di aggiornamento annuale della configurazione KORA?</w:t>
      </w:r>
    </w:p>
    <w:p>
      <w:pPr>
        <w:pStyle w:val="ListParagraph"/>
        <w:numPr>
          <w:ilvl w:val="0"/>
          <w:numId w:val="2"/>
        </w:numPr>
        <w:spacing w:after="40" w:before="40"/>
      </w:pPr>
      <w:r>
        <w:rPr>
          <w:rFonts w:ascii="Arial" w:cs="Arial" w:eastAsia="Arial" w:hAnsi="Arial"/>
          <w:sz w:val="19"/>
          <w:szCs w:val="19"/>
        </w:rPr>
        <w:t xml:space="preserve">Come deve essere strutturato il Welfare Statement KORA per essere pienamente utilizzabile nel processo payroll del consulente del lavoro del cliente? Quali campi sono indispensabili, quali opzionali, quali potenzialmente rischiosi se presenti?</w:t>
      </w:r>
    </w:p>
    <w:p>
      <w:pPr>
        <w:pStyle w:val="ListParagraph"/>
        <w:numPr>
          <w:ilvl w:val="0"/>
          <w:numId w:val="2"/>
        </w:numPr>
        <w:spacing w:after="40" w:before="40"/>
      </w:pPr>
      <w:r>
        <w:rPr>
          <w:rFonts w:ascii="Arial" w:cs="Arial" w:eastAsia="Arial" w:hAnsi="Arial"/>
          <w:sz w:val="19"/>
          <w:szCs w:val="19"/>
        </w:rPr>
        <w:t xml:space="preserve">Per i servizi in categoria 'da_validare': qual è il processo corretto per ottenere la validazione e aggiornare il fiscal_validation_status nel sistema? Chi è responsabile di comunicare a KORA l'esito della validazione?</w:t>
      </w:r>
    </w:p>
    <w:p>
      <w:pPr>
        <w:spacing w:after="60" w:before="60"/>
        <w:jc w:val="both"/>
      </w:pPr>
      <w:r>
        <w:rPr>
          <w:rFonts w:ascii="Arial" w:cs="Arial" w:eastAsia="Arial" w:hAnsi="Arial"/>
          <w:sz w:val="20"/>
          <w:szCs w:val="20"/>
        </w:rPr>
        <w:t xml:space="preserve"/>
      </w:r>
    </w:p>
    <w:p>
      <w:pPr>
        <w:spacing w:after="100" w:before="220"/>
      </w:pPr>
      <w:r>
        <w:rPr>
          <w:rFonts w:ascii="Arial" w:cs="Arial" w:eastAsia="Arial" w:hAnsi="Arial"/>
          <w:b/>
          <w:bCs/>
          <w:color w:val="1F3864"/>
          <w:sz w:val="22"/>
          <w:szCs w:val="22"/>
        </w:rPr>
        <w:t xml:space="preserve">8B. Consulente del lavoro</w:t>
      </w:r>
    </w:p>
    <w:p>
      <w:pPr>
        <w:pStyle w:val="ListParagraph"/>
        <w:numPr>
          <w:ilvl w:val="0"/>
          <w:numId w:val="2"/>
        </w:numPr>
        <w:spacing w:after="40" w:before="40"/>
      </w:pPr>
      <w:r>
        <w:rPr>
          <w:rFonts w:ascii="Arial" w:cs="Arial" w:eastAsia="Arial" w:hAnsi="Arial"/>
          <w:sz w:val="19"/>
          <w:szCs w:val="19"/>
        </w:rPr>
        <w:t xml:space="preserve">Come integrare il Welfare Statement KORA (in formato payroll-ready) nel processo di elaborazione del cedolino? Quali campi del Welfare Statement hanno impatto diretto sul cedolino? Con quale tempistica il Welfare Statement deve essere ricevuto?</w:t>
      </w:r>
    </w:p>
    <w:p>
      <w:pPr>
        <w:pStyle w:val="ListParagraph"/>
        <w:numPr>
          <w:ilvl w:val="0"/>
          <w:numId w:val="2"/>
        </w:numPr>
        <w:spacing w:after="40" w:before="40"/>
      </w:pPr>
      <w:r>
        <w:rPr>
          <w:rFonts w:ascii="Arial" w:cs="Arial" w:eastAsia="Arial" w:hAnsi="Arial"/>
          <w:sz w:val="19"/>
          <w:szCs w:val="19"/>
        </w:rPr>
        <w:t xml:space="preserve">Quali eventi tra quelli descritti (welfare 51 TUIR, fringe benefit, co-funded) hanno payroll relevance flag=true? Quali invece non impattano il cedolino e possono essere ignorati nel processo payroll?</w:t>
      </w:r>
    </w:p>
    <w:p>
      <w:pPr>
        <w:pStyle w:val="ListParagraph"/>
        <w:numPr>
          <w:ilvl w:val="0"/>
          <w:numId w:val="2"/>
        </w:numPr>
        <w:spacing w:after="40" w:before="40"/>
      </w:pPr>
      <w:r>
        <w:rPr>
          <w:rFonts w:ascii="Arial" w:cs="Arial" w:eastAsia="Arial" w:hAnsi="Arial"/>
          <w:sz w:val="19"/>
          <w:szCs w:val="19"/>
        </w:rPr>
        <w:t xml:space="preserve">Come gestire operativamente la categoria omogenea nel programma KORA? Quali documenti interni del cliente (accordo sindacale, regolamento aziendale, CCNL) supportano la qualifica della categoria omogenea?</w:t>
      </w:r>
    </w:p>
    <w:p>
      <w:pPr>
        <w:pStyle w:val="ListParagraph"/>
        <w:numPr>
          <w:ilvl w:val="0"/>
          <w:numId w:val="2"/>
        </w:numPr>
        <w:spacing w:after="40" w:before="40"/>
      </w:pPr>
      <w:r>
        <w:rPr>
          <w:rFonts w:ascii="Arial" w:cs="Arial" w:eastAsia="Arial" w:hAnsi="Arial"/>
          <w:sz w:val="19"/>
          <w:szCs w:val="19"/>
        </w:rPr>
        <w:t xml:space="preserve">Come garantire la non convertibilità in denaro dei benefit welfare configurati in KORA? Quali clausole del regolamento welfare aziendale sono indispensabili?</w:t>
      </w:r>
    </w:p>
    <w:p>
      <w:pPr>
        <w:pStyle w:val="ListParagraph"/>
        <w:numPr>
          <w:ilvl w:val="0"/>
          <w:numId w:val="2"/>
        </w:numPr>
        <w:spacing w:after="40" w:before="40"/>
      </w:pPr>
      <w:r>
        <w:rPr>
          <w:rFonts w:ascii="Arial" w:cs="Arial" w:eastAsia="Arial" w:hAnsi="Arial"/>
          <w:sz w:val="19"/>
          <w:szCs w:val="19"/>
        </w:rPr>
        <w:t xml:space="preserve">Quale documentazione deve ricevere il lavoratore per attestare il beneficio ricevuto e supportare la sua dichiarazione dei redditi (se rilevante)?</w:t>
      </w:r>
    </w:p>
    <w:p>
      <w:pPr>
        <w:pStyle w:val="ListParagraph"/>
        <w:numPr>
          <w:ilvl w:val="0"/>
          <w:numId w:val="2"/>
        </w:numPr>
        <w:spacing w:after="40" w:before="40"/>
      </w:pPr>
      <w:r>
        <w:rPr>
          <w:rFonts w:ascii="Arial" w:cs="Arial" w:eastAsia="Arial" w:hAnsi="Arial"/>
          <w:sz w:val="19"/>
          <w:szCs w:val="19"/>
        </w:rPr>
        <w:t xml:space="preserve">Come gestire il superamento della soglia fringe benefit nel corso dell'anno? Quali comunicazioni devono avvenire tra KORA, l'azienda cliente e il consulente del lavoro? In quale momento del cedolino va rilevato il superamento?</w:t>
      </w:r>
    </w:p>
    <w:p>
      <w:pPr>
        <w:pStyle w:val="ListParagraph"/>
        <w:numPr>
          <w:ilvl w:val="0"/>
          <w:numId w:val="2"/>
        </w:numPr>
        <w:spacing w:after="40" w:before="40"/>
      </w:pPr>
      <w:r>
        <w:rPr>
          <w:rFonts w:ascii="Arial" w:cs="Arial" w:eastAsia="Arial" w:hAnsi="Arial"/>
          <w:sz w:val="19"/>
          <w:szCs w:val="19"/>
        </w:rPr>
        <w:t xml:space="preserve">Per le erogazioni co-funded: come deve essere riportata nel cedolino la quota personale del lavoratore (se rilevante) e come quella aziendale?</w:t>
      </w:r>
    </w:p>
    <w:p>
      <w:pPr>
        <w:spacing w:after="60" w:before="60"/>
        <w:jc w:val="both"/>
      </w:pPr>
      <w:r>
        <w:rPr>
          <w:rFonts w:ascii="Arial" w:cs="Arial" w:eastAsia="Arial" w:hAnsi="Arial"/>
          <w:sz w:val="20"/>
          <w:szCs w:val="20"/>
        </w:rPr>
        <w:t xml:space="preserve"/>
      </w:r>
    </w:p>
    <w:p>
      <w:pPr>
        <w:spacing w:after="100" w:before="220"/>
      </w:pPr>
      <w:r>
        <w:rPr>
          <w:rFonts w:ascii="Arial" w:cs="Arial" w:eastAsia="Arial" w:hAnsi="Arial"/>
          <w:b/>
          <w:bCs/>
          <w:color w:val="1F3864"/>
          <w:sz w:val="22"/>
          <w:szCs w:val="22"/>
        </w:rPr>
        <w:t xml:space="preserve">8C. Legal advisor</w:t>
      </w:r>
    </w:p>
    <w:p>
      <w:pPr>
        <w:pStyle w:val="ListParagraph"/>
        <w:numPr>
          <w:ilvl w:val="0"/>
          <w:numId w:val="2"/>
        </w:numPr>
        <w:spacing w:after="40" w:before="40"/>
      </w:pPr>
      <w:r>
        <w:rPr>
          <w:rFonts w:ascii="Arial" w:cs="Arial" w:eastAsia="Arial" w:hAnsi="Arial"/>
          <w:sz w:val="19"/>
          <w:szCs w:val="19"/>
        </w:rPr>
        <w:t xml:space="preserve">Quali clausole contrattuali nel MSA KORA-azienda limitano il ruolo di KORA a program operator e orchestratore, escludendo esplicitamente qualsiasi responsabilità per la classificazione fiscale delle categorie di spesa del cliente?</w:t>
      </w:r>
    </w:p>
    <w:p>
      <w:pPr>
        <w:pStyle w:val="ListParagraph"/>
        <w:numPr>
          <w:ilvl w:val="0"/>
          <w:numId w:val="2"/>
        </w:numPr>
        <w:spacing w:after="40" w:before="40"/>
      </w:pPr>
      <w:r>
        <w:rPr>
          <w:rFonts w:ascii="Arial" w:cs="Arial" w:eastAsia="Arial" w:hAnsi="Arial"/>
          <w:sz w:val="19"/>
          <w:szCs w:val="19"/>
        </w:rPr>
        <w:t xml:space="preserve">Come formulare il disclaimer nel Welfare Statement che chiarisca che KORA non certifica il trattamento fiscale e che la responsabilità resta dell'azienda e dei propri advisor?</w:t>
      </w:r>
    </w:p>
    <w:p>
      <w:pPr>
        <w:pStyle w:val="ListParagraph"/>
        <w:numPr>
          <w:ilvl w:val="0"/>
          <w:numId w:val="2"/>
        </w:numPr>
        <w:spacing w:after="40" w:before="40"/>
      </w:pPr>
      <w:r>
        <w:rPr>
          <w:rFonts w:ascii="Arial" w:cs="Arial" w:eastAsia="Arial" w:hAnsi="Arial"/>
          <w:sz w:val="19"/>
          <w:szCs w:val="19"/>
        </w:rPr>
        <w:t xml:space="preserve">Nel Partner Agreement: come descrivere l'obbligo del partner di rilasciare documentazione probatoria adeguata senza che KORA si assuma la responsabilità della sua completezza ai fini fiscali?</w:t>
      </w:r>
    </w:p>
    <w:p>
      <w:pPr>
        <w:pStyle w:val="ListParagraph"/>
        <w:numPr>
          <w:ilvl w:val="0"/>
          <w:numId w:val="2"/>
        </w:numPr>
        <w:spacing w:after="40" w:before="40"/>
      </w:pPr>
      <w:r>
        <w:rPr>
          <w:rFonts w:ascii="Arial" w:cs="Arial" w:eastAsia="Arial" w:hAnsi="Arial"/>
          <w:sz w:val="19"/>
          <w:szCs w:val="19"/>
        </w:rPr>
        <w:t xml:space="preserve">Come trattare i dati sensibili collegati a categorie sanitarie (sanità integrativa, screening, wellbeing): quali basi giuridiche (GDPR art. 9) sono necessarie, quali clausole nel DPA, quali limitazioni di accesso ai dati?</w:t>
      </w:r>
    </w:p>
    <w:p>
      <w:pPr>
        <w:pStyle w:val="ListParagraph"/>
        <w:numPr>
          <w:ilvl w:val="0"/>
          <w:numId w:val="2"/>
        </w:numPr>
        <w:spacing w:after="40" w:before="40"/>
      </w:pPr>
      <w:r>
        <w:rPr>
          <w:rFonts w:ascii="Arial" w:cs="Arial" w:eastAsia="Arial" w:hAnsi="Arial"/>
          <w:sz w:val="19"/>
          <w:szCs w:val="19"/>
        </w:rPr>
        <w:t xml:space="preserve">Quali disclaimer specifici inserire nella configurazione del sistema per categorie in status 'da_validare'? Come documentare che KORA ha informato l'azienda della necessità di validazione prima dell'uso?</w:t>
      </w:r>
    </w:p>
    <w:p>
      <w:pPr>
        <w:pStyle w:val="ListParagraph"/>
        <w:numPr>
          <w:ilvl w:val="0"/>
          <w:numId w:val="2"/>
        </w:numPr>
        <w:spacing w:after="40" w:before="40"/>
      </w:pPr>
      <w:r>
        <w:rPr>
          <w:rFonts w:ascii="Arial" w:cs="Arial" w:eastAsia="Arial" w:hAnsi="Arial"/>
          <w:sz w:val="19"/>
          <w:szCs w:val="19"/>
        </w:rPr>
        <w:t xml:space="preserve">Come gestire la liability di KORA in caso di errata configurazione da parte del cliente di una categoria fiscale: il MSA deve prevedere una clausola di indemnification?</w:t>
      </w:r>
    </w:p>
    <w:p>
      <w:pPr>
        <w:spacing w:after="60" w:before="60"/>
        <w:jc w:val="both"/>
      </w:pPr>
      <w:r>
        <w:rPr>
          <w:rFonts w:ascii="Arial" w:cs="Arial" w:eastAsia="Arial" w:hAnsi="Arial"/>
          <w:sz w:val="20"/>
          <w:szCs w:val="20"/>
        </w:rPr>
        <w:t xml:space="preserve"/>
      </w:r>
    </w:p>
    <w:p>
      <w:pPr>
        <w:spacing w:after="100" w:before="220"/>
      </w:pPr>
      <w:r>
        <w:rPr>
          <w:rFonts w:ascii="Arial" w:cs="Arial" w:eastAsia="Arial" w:hAnsi="Arial"/>
          <w:b/>
          <w:bCs/>
          <w:color w:val="1F3864"/>
          <w:sz w:val="22"/>
          <w:szCs w:val="22"/>
        </w:rPr>
        <w:t xml:space="preserve">8D. PSD2 / Payment advisor</w:t>
      </w:r>
    </w:p>
    <w:p>
      <w:pPr>
        <w:pStyle w:val="ListParagraph"/>
        <w:numPr>
          <w:ilvl w:val="0"/>
          <w:numId w:val="2"/>
        </w:numPr>
        <w:spacing w:after="40" w:before="40"/>
      </w:pPr>
      <w:r>
        <w:rPr>
          <w:rFonts w:ascii="Arial" w:cs="Arial" w:eastAsia="Arial" w:hAnsi="Arial"/>
          <w:sz w:val="19"/>
          <w:szCs w:val="19"/>
        </w:rPr>
        <w:t xml:space="preserve">Quali delle categorie fiscali descritte implicano flussi di pagamento che devono transitare dall'istituto di pagamento partner (PSD2-compliant)? Quali invece sono outside_welfare_scope e non generano flussi regolati?</w:t>
      </w:r>
    </w:p>
    <w:p>
      <w:pPr>
        <w:pStyle w:val="ListParagraph"/>
        <w:numPr>
          <w:ilvl w:val="0"/>
          <w:numId w:val="2"/>
        </w:numPr>
        <w:spacing w:after="40" w:before="40"/>
      </w:pPr>
      <w:r>
        <w:rPr>
          <w:rFonts w:ascii="Arial" w:cs="Arial" w:eastAsia="Arial" w:hAnsi="Arial"/>
          <w:sz w:val="19"/>
          <w:szCs w:val="19"/>
        </w:rPr>
        <w:t xml:space="preserve">Per le categorie con FUO company-funded: l'escrow segregato per cliente presso l'istituto di pagamento partner è la configurazione corretta per qualificare i fondi come non-ricavo KORA e per sostenere la separazione fiscale?</w:t>
      </w:r>
    </w:p>
    <w:p>
      <w:pPr>
        <w:pStyle w:val="ListParagraph"/>
        <w:numPr>
          <w:ilvl w:val="0"/>
          <w:numId w:val="2"/>
        </w:numPr>
        <w:spacing w:after="40" w:before="40"/>
      </w:pPr>
      <w:r>
        <w:rPr>
          <w:rFonts w:ascii="Arial" w:cs="Arial" w:eastAsia="Arial" w:hAnsi="Arial"/>
          <w:sz w:val="19"/>
          <w:szCs w:val="19"/>
        </w:rPr>
        <w:t xml:space="preserve">Come separare tecnicamente i flussi co-funded (quota aziendale in escrow aziendale, quota lavoratore in sub-wallet personale) nell'infrastruttura dell'istituto di pagamento?</w:t>
      </w:r>
    </w:p>
    <w:p>
      <w:pPr>
        <w:pStyle w:val="ListParagraph"/>
        <w:numPr>
          <w:ilvl w:val="0"/>
          <w:numId w:val="2"/>
        </w:numPr>
        <w:spacing w:after="40" w:before="40"/>
      </w:pPr>
      <w:r>
        <w:rPr>
          <w:rFonts w:ascii="Arial" w:cs="Arial" w:eastAsia="Arial" w:hAnsi="Arial"/>
          <w:sz w:val="19"/>
          <w:szCs w:val="19"/>
        </w:rPr>
        <w:t xml:space="preserve">I flussi employee-paid (top-up personale) devono transitare dall'istituto di pagamento partner o da un provider separato (es. Stripe per le KORA Fees)? Come gestire la separazione operativa?</w:t>
      </w:r>
    </w:p>
    <w:p>
      <w:pPr>
        <w:pStyle w:val="ListParagraph"/>
        <w:numPr>
          <w:ilvl w:val="0"/>
          <w:numId w:val="2"/>
        </w:numPr>
        <w:spacing w:after="40" w:before="40"/>
      </w:pPr>
      <w:r>
        <w:rPr>
          <w:rFonts w:ascii="Arial" w:cs="Arial" w:eastAsia="Arial" w:hAnsi="Arial"/>
          <w:sz w:val="19"/>
          <w:szCs w:val="19"/>
        </w:rPr>
        <w:t xml:space="preserve">Per le categorie CSR/KIP dove il flusso è diretto azienda → progetto senza intermediazione KORA: è necessario che l'istituto di pagamento partner sia coinvolto? Quali rischi PSD2 potrebbe configurare un'intermediazione non autorizzata?</w:t>
      </w:r>
    </w:p>
    <w:p>
      <w:pPr>
        <w:pStyle w:val="ListParagraph"/>
        <w:numPr>
          <w:ilvl w:val="0"/>
          <w:numId w:val="2"/>
        </w:numPr>
        <w:spacing w:after="40" w:before="40"/>
      </w:pPr>
      <w:r>
        <w:rPr>
          <w:rFonts w:ascii="Arial" w:cs="Arial" w:eastAsia="Arial" w:hAnsi="Arial"/>
          <w:sz w:val="19"/>
          <w:szCs w:val="19"/>
        </w:rPr>
        <w:t xml:space="preserve">Come documentare nel Service Agreement con l'istituto di pagamento partner la separazione tra le diverse categorie di wallet (welfare aziendale, sub-wallet personale, HR budget) e le rispettive istruzioni tecniche di payout?</w:t>
      </w:r>
    </w:p>
    <w:p>
      <w:pPr>
        <w:spacing w:after="60" w:before="60"/>
        <w:jc w:val="both"/>
      </w:pPr>
      <w:r>
        <w:rPr>
          <w:rFonts w:ascii="Arial" w:cs="Arial" w:eastAsia="Arial" w:hAnsi="Arial"/>
          <w:sz w:val="20"/>
          <w:szCs w:val="20"/>
        </w:rPr>
        <w:t xml:space="preserve"/>
      </w:r>
    </w:p>
    <w:p>
      <w:pPr>
        <w:spacing w:after="120" w:before="320"/>
      </w:pPr>
      <w:r>
        <w:rPr>
          <w:rFonts w:ascii="Arial" w:cs="Arial" w:eastAsia="Arial" w:hAnsi="Arial"/>
          <w:b/>
          <w:bCs/>
          <w:color w:val="2E75B6"/>
          <w:sz w:val="26"/>
          <w:szCs w:val="26"/>
        </w:rPr>
        <w:t xml:space="preserve">9. Glossario fiscale minimo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Termine</w:t>
            </w:r>
          </w:p>
        </w:tc>
        <w:tc>
          <w:tcPr>
            <w:tcW w:type="dxa" w:w="74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Definizione operativa per KORA</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Art. 51 TUIR</w:t>
            </w:r>
          </w:p>
        </w:tc>
        <w:tc>
          <w:tcPr>
            <w:tcW w:type="dxa" w:w="7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Articolo del Testo Unico delle Imposte sui Redditi (DPR 917/1986) che disciplina il reddito di lavoro dipendente. Il comma 2 elenca le categorie di benefit escluse dal reddito imponibile del lavoratore (welfare aziendale). Il comma 3 disciplina la soglia di esenzione del fringe benefit ordinario. La normativa è soggetta a modifiche annuali.</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Art. 100 TUIR</w:t>
            </w:r>
          </w:p>
        </w:tc>
        <w:tc>
          <w:tcPr>
            <w:tcW w:type="dxa" w:w="7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Disciplina la deducibilità delle spese di utilità sociale sostenute dall'azienda. Rilevante per alcune categorie CSR/ESG e per la formazione. Da applicare congiuntamente all'art. 51 per le categorie che impattano sia l'azienda sia il lavoratore.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Categoria omogenea</w:t>
            </w:r>
          </w:p>
        </w:tc>
        <w:tc>
          <w:tcPr>
            <w:tcW w:type="dxa" w:w="7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Insieme di lavoratori del cliente azienda accomunati da criteri oggettivi (livello, area funzionale, sede, anzianità, qualifica CCNL) ai quali si applica un programma welfare unificato. Requisito sostanziale per il trattamento agevolato ex art. 51 TUIR. La definizione deve essere validata dal consulente del lavoro.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Fringe benefit</w:t>
            </w:r>
          </w:p>
        </w:tc>
        <w:tc>
          <w:tcPr>
            <w:tcW w:type="dxa" w:w="7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Benefit in natura o in denaro attribuiti dall'azienda al lavoratore individualmente. Esenti da tassazione entro la soglia annuale vigente (art. 51 c.3 TUIR). Sopra soglia: imponibili per il lavoratore con oneri previdenziali. La soglia è soggetta ad aggiornamento annuale con le Leggi di Bilancio. KORA non dichiara la soglia vigente: questa deve essere comunicata annualmente dal commercialista o consulente del lavoro del cliente.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Documentazione probatoria</w:t>
            </w:r>
          </w:p>
        </w:tc>
        <w:tc>
          <w:tcPr>
            <w:tcW w:type="dxa" w:w="7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Insieme di documenti (fattura del partner, attestato di erogazione, dichiarazione di fruizione del servizio) che attestano che il benefit è stato effettivamente erogato al lavoratore nella forma prevista. Indispensabile in caso di accertamento. Il tipo di documento richiesto dipende dalla categoria del servizio e deve essere validato dal commercialista welfare.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Non convertibilità</w:t>
            </w:r>
          </w:p>
        </w:tc>
        <w:tc>
          <w:tcPr>
            <w:tcW w:type="dxa" w:w="7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Requisito fondamentale del welfare aziendale agevolato: il benefit non può essere convertito in denaro dal lavoratore. KORA applica questo controllo come fail-safe in ogni transazione.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FUO (Funds Under Orchestration)</w:t>
            </w:r>
          </w:p>
        </w:tc>
        <w:tc>
          <w:tcPr>
            <w:tcW w:type="dxa" w:w="7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Fondi di terzi (budget welfare aziendale, top-up volontario del lavoratore) orchestrati dalla piattaforma KORA tramite istituto di pagamento partner regolato. Non sono ricavi propri di KORA. Contabilizzati come conti d'ordine.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KORA Fees</w:t>
            </w:r>
          </w:p>
        </w:tc>
        <w:tc>
          <w:tcPr>
            <w:tcW w:type="dxa" w:w="7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Ricavi propri di KORA: subscription SaaS, setup, management fee, orchestration fee, certification fee, service fee top-up. Unica grandezza che costituisce ricavo KORA e transita nel Conto Economico.</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Welfare Statement</w:t>
            </w:r>
          </w:p>
        </w:tc>
        <w:tc>
          <w:tcPr>
            <w:tcW w:type="dxa" w:w="7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Documento di rendicontazione mensile prodotto da KORA per il cliente, in formato payroll-ready per il consulente del lavoro. Non è un parere fiscale autonomo.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Fiscal Guardrails Engine</w:t>
            </w:r>
          </w:p>
        </w:tc>
        <w:tc>
          <w:tcPr>
            <w:tcW w:type="dxa" w:w="7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Componente software KORA che applica controlli fiscali e operativi in tempo reale prima dell'autorizzazione di ogni transazione. Opera secondo il principio del fail-safe.</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tax_treatment_status</w:t>
            </w:r>
          </w:p>
        </w:tc>
        <w:tc>
          <w:tcPr>
            <w:tcW w:type="dxa" w:w="7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Campo del modello dati KORA che indica lo status del trattamento fiscale di una categoria: agevolato_51tuir | agevolato_entro_soglia | non_agevolato | da_validare | fuori_perimetro.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Co-funded</w:t>
            </w:r>
          </w:p>
        </w:tc>
        <w:tc>
          <w:tcPr>
            <w:tcW w:type="dxa" w:w="7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Modello di finanziamento in cui il servizio è parzialmente finanziato dall'azienda (quota welfare o HR budget) e parzialmente dal lavoratore con fondi propri. I due flussi sono separati nell'istituto di pagamento.</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KIP (KORA Impact Pledge)</w:t>
            </w:r>
          </w:p>
        </w:tc>
        <w:tc>
          <w:tcPr>
            <w:tcW w:type="dxa" w:w="7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Impegno dell'azienda verso un progetto territoriale o sociale. Non è welfare del dipendente. Il flusso finanziario è diretto azienda → progetto, al di fuori dell'infrastruttura di pagamento KORA. KORA traccia il commitment e l'impatto dichiarato.</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Verified Action</w:t>
            </w:r>
          </w:p>
        </w:tc>
        <w:tc>
          <w:tcPr>
            <w:tcW w:type="dxa" w:w="7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Unità di dato KORA: azione concreta del lavoratore (formativa, sanitaria, di mobilità, sociale, no-payment) attestata, classificata e contestualizzata nella piattaforma. Contribuisce al KORA Index.</w:t>
            </w:r>
          </w:p>
        </w:tc>
      </w:tr>
      <w:tr>
        <w:tc>
          <w:tcPr>
            <w:tcW w:type="dxa" w:w="20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Outside welfare scope</w:t>
            </w:r>
          </w:p>
        </w:tc>
        <w:tc>
          <w:tcPr>
            <w:tcW w:type="dxa" w:w="7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Esito del Guardrail per eventi o transazioni che non rientrano nelle categorie welfare configurate per il cliente. Generano dati algoritmici ma non flussi economici welfare né Welfare Statement entries.</w:t>
            </w:r>
          </w:p>
        </w:tc>
      </w:tr>
    </w:tbl>
    <w:p>
      <w:pPr>
        <w:spacing w:after="60" w:before="60"/>
        <w:jc w:val="both"/>
      </w:pPr>
      <w:r>
        <w:rPr>
          <w:rFonts w:ascii="Arial" w:cs="Arial" w:eastAsia="Arial" w:hAnsi="Arial"/>
          <w:sz w:val="20"/>
          <w:szCs w:val="20"/>
        </w:rPr>
        <w:t xml:space="preserve"/>
      </w:r>
    </w:p>
    <w:p>
      <w:pPr>
        <w:spacing w:after="120" w:before="320"/>
      </w:pPr>
      <w:r>
        <w:rPr>
          <w:rFonts w:ascii="Arial" w:cs="Arial" w:eastAsia="Arial" w:hAnsi="Arial"/>
          <w:b/>
          <w:bCs/>
          <w:color w:val="2E75B6"/>
          <w:sz w:val="26"/>
          <w:szCs w:val="26"/>
        </w:rPr>
        <w:t xml:space="preserve">10. Parti del Financial Paper da aggiornare di conseguenza</w:t>
      </w:r>
    </w:p>
    <w:p>
      <w:pPr>
        <w:spacing w:after="80" w:before="80"/>
        <w:jc w:val="both"/>
      </w:pPr>
      <w:r>
        <w:rPr>
          <w:rFonts w:ascii="Arial" w:cs="Arial" w:eastAsia="Arial" w:hAnsi="Arial"/>
          <w:sz w:val="20"/>
          <w:szCs w:val="20"/>
        </w:rPr>
        <w:t xml:space="preserve">L'introduzione della sezione Fiscal Categories &amp; Guardrails impatta le seguenti sezioni del documento madre Economic &amp; Operating Architecture. Le modifiche non richiedono riscrittura integrale: sono integrazioni e cross-reference.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800"/>
      </w:tblGrid>
      <w:tr>
        <w:tc>
          <w:tcPr>
            <w:tcW w:type="dxa" w:w="12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Sezione</w:t>
            </w:r>
          </w:p>
        </w:tc>
        <w:tc>
          <w:tcPr>
            <w:tcW w:type="dxa" w:w="24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Titolo</w:t>
            </w:r>
          </w:p>
        </w:tc>
        <w:tc>
          <w:tcPr>
            <w:tcW w:type="dxa" w:w="5800"/>
            <w:gridSpan w:val="1"/>
            <w:tcBorders>
              <w:top w:val="single" w:color="335EA8" w:sz="1"/>
              <w:left w:val="single" w:color="335EA8" w:sz="1"/>
              <w:bottom w:val="single" w:color="335EA8" w:sz="1"/>
              <w:right w:val="single" w:color="335EA8" w:sz="1"/>
            </w:tcBorders>
            <w:shd w:fill="1F3864" w:val="clear"/>
            <w:tcMar>
              <w:top w:type="dxa" w:w="70"/>
              <w:left w:type="dxa" w:w="120"/>
              <w:bottom w:type="dxa" w:w="70"/>
              <w:right w:type="dxa" w:w="120"/>
            </w:tcMar>
            <w:vAlign w:val="center"/>
          </w:tcPr>
          <w:p>
            <w:pPr>
              <w:spacing w:after="0" w:before="0"/>
            </w:pPr>
            <w:r>
              <w:rPr>
                <w:rFonts w:ascii="Arial" w:cs="Arial" w:eastAsia="Arial" w:hAnsi="Arial"/>
                <w:b/>
                <w:bCs/>
                <w:color w:val="FFFFFF"/>
                <w:sz w:val="17"/>
                <w:szCs w:val="17"/>
              </w:rPr>
              <w:t xml:space="preserve">Aggiornamento richiesto</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Sez. 01</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Executive Summary</w:t>
            </w:r>
          </w:p>
        </w:tc>
        <w:tc>
          <w:tcPr>
            <w:tcW w:type="dxa" w:w="5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Aggiungere menzione del layer Fiscal Categories &amp; Guardrails come componente dell'architettura di controllo. Aggiornare il 'Core Principle' con riferimento alle nove categorie fiscali gestite.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Sez. 04</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Economic Architecture — le 5 grandezze</w:t>
            </w:r>
          </w:p>
        </w:tc>
        <w:tc>
          <w:tcPr>
            <w:tcW w:type="dxa" w:w="5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La tabella delle grandezze è corretta. Aggiungere nota: i FUO possono essere company-funded (welfare puro, fringe, co-funded quota aziendale) o worker-funded (employee-paid, co-funded quota lavoratore). La distinzione impatta il piano dei conti.</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Sez. 05</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Revenue vs Third-Party Funds Separation</w:t>
            </w:r>
          </w:p>
        </w:tc>
        <w:tc>
          <w:tcPr>
            <w:tcW w:type="dxa" w:w="5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Aggiungere un paragrafo che chiarisce come le categorie 3-6 (formazione, HSE, CSR, HR discretionary) possono generare flussi aziendali orchestrati da KORA che non sono FUO welfare e non entrano nel perimetro art. 51 TUIR, ma sono comunque distinti dai ricavi KORA.</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Sez. 07</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Accounting &amp; Fiscal Architecture</w:t>
            </w:r>
          </w:p>
        </w:tc>
        <w:tc>
          <w:tcPr>
            <w:tcW w:type="dxa" w:w="5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Aggiornare il piano dei conti con nuovi sotto-conti per le categorie fiscali (es. 90.01.x separato per welfare 51 TUIR, fringe, formazione). Aggiungere regola di competenza specifica per il fringe benefit (rilevazione per anno solare, non per esercizio contabile).</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Sez. 08</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Contractual Architecture — MSA</w:t>
            </w:r>
          </w:p>
        </w:tc>
        <w:tc>
          <w:tcPr>
            <w:tcW w:type="dxa" w:w="5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Aggiungere clausola che specifica l'obbligo del cliente di comunicare annualmente a KORA la soglia fringe benefit vigente e le eventuali variazioni delle categorie fiscali del programma. Aggiungere disclaimer di non-certificazione fiscale.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Sez. 08-bis</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SVAM — Single Vendor Administrative Model</w:t>
            </w:r>
          </w:p>
        </w:tc>
        <w:tc>
          <w:tcPr>
            <w:tcW w:type="dxa" w:w="5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La tabella delle tre varianti di fatturazione partner deve essere integrata con colonna 'fiscal_category rilevante': alcune varianti sono più appropriate per welfare puro, altre per formazione o HR budget.</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Sez. 09</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Fiscal &amp; Welfare Qualification Framework</w:t>
            </w:r>
          </w:p>
        </w:tc>
        <w:tc>
          <w:tcPr>
            <w:tcW w:type="dxa" w:w="5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Questa sezione esistente è ora complementata dalla nuova Sez. 09-bis. Aggiungere cross-reference alla nuova sezione. Aggiornare la mappa dei ruoli con il campo fiscal_validation_status e il processo di aggiornamento annuale soglie.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Sez. 11</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Risk Map &amp; Mitigations</w:t>
            </w:r>
          </w:p>
        </w:tc>
        <w:tc>
          <w:tcPr>
            <w:tcW w:type="dxa" w:w="5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Integrare i 12 rischi della tabella 7 di questa sezione nella risk map esistente. Evitare duplicazioni: i rischi fiscali specifici delle categorie sostituiscono o integrano R1 (riqualifica FUO) e R3 (welfare provider qualification) già presenti.</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Sez. 12</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Validation Roadmap</w:t>
            </w:r>
          </w:p>
        </w:tc>
        <w:tc>
          <w:tcPr>
            <w:tcW w:type="dxa" w:w="5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Aggiungere voce: 'Validazione soglie fringe benefit e categorie fiscali — annuale — da completare entro inizio di ogni anno solare — costo orientativo 1.000–2.500 €/anno — responsabile: commercialista welfare del cliente con comunicazione formale a KORA'.</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Appendice D</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Domande per il commercialista</w:t>
            </w:r>
          </w:p>
        </w:tc>
        <w:tc>
          <w:tcPr>
            <w:tcW w:type="dxa" w:w="5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Integrare con le domande 8A di questa sezione. Le domande del layer fiscale completano quelle già presenti sulla struttura FUO e welfare.</w:t>
            </w:r>
          </w:p>
        </w:tc>
      </w:tr>
      <w:tr>
        <w:tc>
          <w:tcPr>
            <w:tcW w:type="dxa" w:w="12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Appendice F</w:t>
            </w:r>
          </w:p>
        </w:tc>
        <w:tc>
          <w:tcPr>
            <w:tcW w:type="dxa" w:w="24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Domande per il consulente del lavoro</w:t>
            </w:r>
          </w:p>
        </w:tc>
        <w:tc>
          <w:tcPr>
            <w:tcW w:type="dxa" w:w="5800"/>
            <w:gridSpan w:val="1"/>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Integrare con le domande 8B di questa sezione. Aggiungere domande specifiche sull'integrazione payroll del Welfare Statement aggiornato.</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1F3864"/>
                <w:sz w:val="16"/>
                <w:szCs w:val="16"/>
              </w:rPr>
              <w:t xml:space="preserve">Appendice E</w:t>
            </w:r>
          </w:p>
        </w:tc>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b/>
                <w:bCs/>
                <w:color w:val="000000"/>
                <w:sz w:val="16"/>
                <w:szCs w:val="16"/>
              </w:rPr>
              <w:t xml:space="preserve">Domande per il legal advisor PSD2</w:t>
            </w:r>
          </w:p>
        </w:tc>
        <w:tc>
          <w:tcPr>
            <w:tcW w:type="dxa" w:w="5800"/>
            <w:gridSpan w:val="1"/>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pPr>
              <w:spacing w:after="0" w:before="0"/>
              <w:jc w:val="left"/>
            </w:pPr>
            <w:r>
              <w:rPr>
                <w:rFonts w:ascii="Arial" w:cs="Arial" w:eastAsia="Arial" w:hAnsi="Arial"/>
                <w:color w:val="000000"/>
                <w:sz w:val="16"/>
                <w:szCs w:val="16"/>
              </w:rPr>
              <w:t xml:space="preserve">Integrare con le domande 8C e 8D di questa sezione.</w:t>
            </w:r>
          </w:p>
        </w:tc>
      </w:tr>
    </w:tbl>
    <w:p>
      <w:pPr>
        <w:spacing w:after="60" w:before="60"/>
        <w:jc w:val="both"/>
      </w:pPr>
      <w:r>
        <w:rPr>
          <w:rFonts w:ascii="Arial" w:cs="Arial" w:eastAsia="Arial" w:hAnsi="Arial"/>
          <w:sz w:val="20"/>
          <w:szCs w:val="20"/>
        </w:rPr>
        <w:t xml:space="preserve"/>
      </w:r>
    </w:p>
    <w:p>
      <w:pPr>
        <w:pBdr>
          <w:left w:val="single" w:color="2E75B6" w:sz="12"/>
        </w:pBdr>
        <w:spacing w:after="60" w:before="80"/>
        <w:ind w:left="360"/>
      </w:pPr>
      <w:r>
        <w:rPr>
          <w:rFonts w:ascii="Arial" w:cs="Arial" w:eastAsia="Arial" w:hAnsi="Arial"/>
          <w:b/>
          <w:bCs/>
          <w:color w:val="2E75B6"/>
          <w:sz w:val="18"/>
          <w:szCs w:val="18"/>
        </w:rPr>
        <w:t xml:space="preserve">VALIDATION REQUIRED — RIEPILOGO </w:t>
      </w:r>
      <w:r>
        <w:rPr>
          <w:rFonts w:ascii="Arial" w:cs="Arial" w:eastAsia="Arial" w:hAnsi="Arial"/>
          <w:i/>
          <w:iCs/>
          <w:color w:val="444444"/>
          <w:sz w:val="18"/>
          <w:szCs w:val="18"/>
        </w:rPr>
        <w:t xml:space="preserve">Prima dell'avvio operativo di qualsiasi categoria fiscale trattata da KORA: (1) commercialista welfare valida tax_treatment_status di ogni categoria e sottocategoria; (2) consulente del lavoro valida la struttura della categoria omogenea e la payroll relevance; (3) legal advisor valida le clausole MSA di limitazione di responsabilità e il disclaimer del Welfare Statement; (4) DPO/privacy advisor valida la tracciatura dei no-payment events e la pseudonimizzazione nel Welfare Statement. Nessuna categoria con status 'da_validare' deve essere attivata in produzione.</w:t>
      </w:r>
    </w:p>
    <w:p>
      <w:pPr>
        <w:pBdr>
          <w:top w:val="single" w:color="CCCCCC" w:sz="4"/>
        </w:pBdr>
        <w:spacing w:after="100" w:before="400"/>
      </w:pPr>
      <w:r>
        <w:rPr>
          <w:rFonts w:ascii="Arial" w:cs="Arial" w:eastAsia="Arial" w:hAnsi="Arial"/>
          <w:i/>
          <w:iCs/>
          <w:color w:val="888888"/>
          <w:sz w:val="17"/>
          <w:szCs w:val="17"/>
        </w:rPr>
        <w:t xml:space="preserve">Fine Sezione 09-bis — Fiscal Categories &amp; Guardrails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before="30"/>
        <w:ind w:left="540" w:hanging="270"/>
      </w:pPr>
    </w:lvl>
  </w:abstractNum>
  <w:abstractNum w:abstractNumId="3" w15:restartNumberingAfterBreak="0">
    <w:multiLevelType w:val="hybridMultilevel"/>
    <w:lvl w:ilvl="0" w15:tentative="1">
      <w:start w:val="1"/>
      <w:numFmt w:val="decimal"/>
      <w:lvlText w:val="%1."/>
      <w:lvlJc w:val="left"/>
      <w:pPr>
        <w:spacing w:after="40" w:before="40"/>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2026-05-10T21:28:36.698Z</dcterms:created>
  <dcterms:modified xsi:type="dcterms:W3CDTF">2026-05-10T21:28:36.719Z</dcterms:modified>
</cp:coreProperties>
</file>

<file path=docProps/custom.xml><?xml version="1.0" encoding="utf-8"?>
<Properties xmlns="http://schemas.openxmlformats.org/officeDocument/2006/custom-properties" xmlns:vt="http://schemas.openxmlformats.org/officeDocument/2006/docPropsVTypes"/>
</file>