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8"/>
        </w:rPr>
        <w:t>Ultron QA</w:t>
      </w:r>
    </w:p>
    <w:p>
      <w:pPr>
        <w:jc w:val="center"/>
      </w:pPr>
      <w:r>
        <w:rPr>
          <w:color w:val="595959"/>
          <w:sz w:val="32"/>
        </w:rPr>
        <w:t>Padrão de Documentação de Casos de Teste</w:t>
      </w:r>
    </w:p>
    <w:p>
      <w:pPr>
        <w:jc w:val="center"/>
      </w:pPr>
      <w:r>
        <w:rPr>
          <w:i/>
          <w:color w:val="595959"/>
          <w:sz w:val="20"/>
        </w:rPr>
        <w:t>Atendas — agentsParaQa/ultron · Atualizado em 2026-06-30</w:t>
      </w:r>
    </w:p>
    <w:p/>
    <w:p>
      <w:pPr>
        <w:pStyle w:val="Heading1"/>
      </w:pPr>
      <w:r>
        <w:rPr>
          <w:color w:val="1F4E79"/>
        </w:rPr>
        <w:t>1. O que é o Ultron</w:t>
      </w:r>
    </w:p>
    <w:p>
      <w:r>
        <w:rPr>
          <w:i w:val="0"/>
        </w:rPr>
        <w:t>O Ultron é o agente de QA que apoia a revisão de Pull Requests durante a sprint. Ele lê o conteúdo de um card (Jira, Linear, GitHub Issues ou Huly) e o diff de um ou mais PRs no GitHub, analisa as alterações com IA e publica, como comentário no card, uma documentação de QA padronizada.</w:t>
      </w:r>
    </w:p>
    <w:p>
      <w:r>
        <w:rPr>
          <w:i w:val="0"/>
        </w:rPr>
        <w:t>Regra fundamental: o Ultron só gera casos baseados nas alterações reais do diff — nunca inventa. Se o diff não tiver lógica testável (apenas configuração, documentação, etc.), ele declara isso explicitamente em vez de produzir casos artificiais.</w:t>
      </w:r>
    </w:p>
    <w:p>
      <w:pPr>
        <w:pStyle w:val="Heading1"/>
      </w:pPr>
      <w:r>
        <w:rPr>
          <w:color w:val="1F4E79"/>
        </w:rPr>
        <w:t>2. Estrutura do comentário publicado</w:t>
      </w:r>
    </w:p>
    <w:p>
      <w:r>
        <w:rPr>
          <w:i w:val="0"/>
        </w:rPr>
        <w:t>O comentário publicado no card contém SOMENTE a tabela de casos de teste — sem resumo, checklist, pontos de atenção, cabeçalho ou rodapé.</w:t>
      </w:r>
    </w:p>
    <w:p>
      <w:r>
        <w:rPr>
          <w:i w:val="0"/>
        </w:rPr>
        <w:t>A autoria do Ultron é sinalizada pela label "Ultron" adicionada ao card, e não por texto dentro do comentário. Assim o card fica limpo e a tabela pode ser copiada direto para o Huly Test Management.</w:t>
      </w:r>
    </w:p>
    <w:p>
      <w:pPr>
        <w:pStyle w:val="Heading1"/>
      </w:pPr>
      <w:r>
        <w:rPr>
          <w:color w:val="1F4E79"/>
        </w:rPr>
        <w:t>3. Padrão da tabela de casos de teste</w:t>
      </w:r>
    </w:p>
    <w:p>
      <w:r>
        <w:rPr>
          <w:i w:val="0"/>
        </w:rPr>
        <w:t>A tabela de Casos de Teste Sugeridos tem exatamente 5 colunas. Cada coluna segue a regra abaixo: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Coluna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Regra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t>ID do card como prefixo + número sequencial: CARD-CT01, CARD-CT02, ... (ex.: ATD-628-CT01).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4320"/>
          </w:tcPr>
          <w:p>
            <w:r>
              <w:t>Frase curta começando por verbo de ação (ex.: "Importar contatos sem campanha").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Comportamento Esperado</w:t>
            </w:r>
          </w:p>
        </w:tc>
        <w:tc>
          <w:tcPr>
            <w:tcW w:type="dxa" w:w="4320"/>
          </w:tcPr>
          <w:p>
            <w:r>
              <w:t>Resultado objetivo esperado (ex.: "Retorna 200 e cria os contatos").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4320"/>
          </w:tcPr>
          <w:p>
            <w:r>
              <w:t>Critério de aceite do card que o caso cobre (ex.: CA-01). Use "—" quando não mapear nenhum.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Automatizar</w:t>
            </w:r>
          </w:p>
        </w:tc>
        <w:tc>
          <w:tcPr>
            <w:tcW w:type="dxa" w:w="4320"/>
          </w:tcPr>
          <w:p>
            <w:r>
              <w:t>"Sim" para fluxo determinístico (bom candidato a automação) ou "Não" para inspeção manual/visual.</w:t>
            </w:r>
          </w:p>
        </w:tc>
      </w:tr>
    </w:tbl>
    <w:p/>
    <w:p>
      <w:pPr>
        <w:pStyle w:val="Heading1"/>
      </w:pPr>
      <w:r>
        <w:rPr>
          <w:color w:val="1F4E79"/>
        </w:rPr>
        <w:t>4. Exemplo de saída (card ATD-628)</w:t>
      </w:r>
    </w:p>
    <w:p>
      <w:r>
        <w:rPr>
          <w:i w:val="0"/>
        </w:rPr>
        <w:t>Trecho real do formato aplicado ao card "[CRM] Exportar e importar contatos do CRM":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Comportamento Esperado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Automatizar</w:t>
            </w:r>
          </w:p>
        </w:tc>
      </w:tr>
      <w:tr>
        <w:tc>
          <w:tcPr>
            <w:tcW w:type="dxa" w:w="1728"/>
          </w:tcPr>
          <w:p>
            <w:r>
              <w:t>ATD-628-CT01</w:t>
            </w:r>
          </w:p>
        </w:tc>
        <w:tc>
          <w:tcPr>
            <w:tcW w:type="dxa" w:w="1728"/>
          </w:tcPr>
          <w:p>
            <w:r>
              <w:t>Importar contatos sem campanha</w:t>
            </w:r>
          </w:p>
        </w:tc>
        <w:tc>
          <w:tcPr>
            <w:tcW w:type="dxa" w:w="1728"/>
          </w:tcPr>
          <w:p>
            <w:r>
              <w:t>Retorna 200 e cria os contatos</w:t>
            </w:r>
          </w:p>
        </w:tc>
        <w:tc>
          <w:tcPr>
            <w:tcW w:type="dxa" w:w="1728"/>
          </w:tcPr>
          <w:p>
            <w:r>
              <w:t>CA-01</w:t>
            </w:r>
          </w:p>
        </w:tc>
        <w:tc>
          <w:tcPr>
            <w:tcW w:type="dxa" w:w="1728"/>
          </w:tcPr>
          <w:p>
            <w:r>
              <w:t>Sim</w:t>
            </w:r>
          </w:p>
        </w:tc>
      </w:tr>
      <w:tr>
        <w:tc>
          <w:tcPr>
            <w:tcW w:type="dxa" w:w="1728"/>
          </w:tcPr>
          <w:p>
            <w:r>
              <w:t>ATD-628-CT02</w:t>
            </w:r>
          </w:p>
        </w:tc>
        <w:tc>
          <w:tcPr>
            <w:tcW w:type="dxa" w:w="1728"/>
          </w:tcPr>
          <w:p>
            <w:r>
              <w:t>Importar com funil e etapa</w:t>
            </w:r>
          </w:p>
        </w:tc>
        <w:tc>
          <w:tcPr>
            <w:tcW w:type="dxa" w:w="1728"/>
          </w:tcPr>
          <w:p>
            <w:r>
              <w:t>Contatos alocados no funil/etapa informados</w:t>
            </w:r>
          </w:p>
        </w:tc>
        <w:tc>
          <w:tcPr>
            <w:tcW w:type="dxa" w:w="1728"/>
          </w:tcPr>
          <w:p>
            <w:r>
              <w:t>CA-02</w:t>
            </w:r>
          </w:p>
        </w:tc>
        <w:tc>
          <w:tcPr>
            <w:tcW w:type="dxa" w:w="1728"/>
          </w:tcPr>
          <w:p>
            <w:r>
              <w:t>Sim</w:t>
            </w:r>
          </w:p>
        </w:tc>
      </w:tr>
      <w:tr>
        <w:tc>
          <w:tcPr>
            <w:tcW w:type="dxa" w:w="1728"/>
          </w:tcPr>
          <w:p>
            <w:r>
              <w:t>ATD-628-CT03</w:t>
            </w:r>
          </w:p>
        </w:tc>
        <w:tc>
          <w:tcPr>
            <w:tcW w:type="dxa" w:w="1728"/>
          </w:tcPr>
          <w:p>
            <w:r>
              <w:t>Importar funil sem etapa</w:t>
            </w:r>
          </w:p>
        </w:tc>
        <w:tc>
          <w:tcPr>
            <w:tcW w:type="dxa" w:w="1728"/>
          </w:tcPr>
          <w:p>
            <w:r>
              <w:t>Contatos criados com etapa nula</w:t>
            </w:r>
          </w:p>
        </w:tc>
        <w:tc>
          <w:tcPr>
            <w:tcW w:type="dxa" w:w="1728"/>
          </w:tcPr>
          <w:p>
            <w:r>
              <w:t>CA-02</w:t>
            </w:r>
          </w:p>
        </w:tc>
        <w:tc>
          <w:tcPr>
            <w:tcW w:type="dxa" w:w="1728"/>
          </w:tcPr>
          <w:p>
            <w:r>
              <w:t>Sim</w:t>
            </w:r>
          </w:p>
        </w:tc>
      </w:tr>
      <w:tr>
        <w:tc>
          <w:tcPr>
            <w:tcW w:type="dxa" w:w="1728"/>
          </w:tcPr>
          <w:p>
            <w:r>
              <w:t>ATD-628-CT04</w:t>
            </w:r>
          </w:p>
        </w:tc>
        <w:tc>
          <w:tcPr>
            <w:tcW w:type="dxa" w:w="1728"/>
          </w:tcPr>
          <w:p>
            <w:r>
              <w:t>Reenviar o mesmo arquivo</w:t>
            </w:r>
          </w:p>
        </w:tc>
        <w:tc>
          <w:tcPr>
            <w:tcW w:type="dxa" w:w="1728"/>
          </w:tcPr>
          <w:p>
            <w:r>
              <w:t>Retorna "arquivo já importado anteriormente"</w:t>
            </w:r>
          </w:p>
        </w:tc>
        <w:tc>
          <w:tcPr>
            <w:tcW w:type="dxa" w:w="1728"/>
          </w:tcPr>
          <w:p>
            <w:r>
              <w:t>CA-04</w:t>
            </w:r>
          </w:p>
        </w:tc>
        <w:tc>
          <w:tcPr>
            <w:tcW w:type="dxa" w:w="1728"/>
          </w:tcPr>
          <w:p>
            <w:r>
              <w:t>Sim</w:t>
            </w:r>
          </w:p>
        </w:tc>
      </w:tr>
      <w:tr>
        <w:tc>
          <w:tcPr>
            <w:tcW w:type="dxa" w:w="1728"/>
          </w:tcPr>
          <w:p>
            <w:r>
              <w:t>ATD-628-CT05</w:t>
            </w:r>
          </w:p>
        </w:tc>
        <w:tc>
          <w:tcPr>
            <w:tcW w:type="dxa" w:w="1728"/>
          </w:tcPr>
          <w:p>
            <w:r>
              <w:t>Importar dentro da campanha</w:t>
            </w:r>
          </w:p>
        </w:tc>
        <w:tc>
          <w:tcPr>
            <w:tcW w:type="dxa" w:w="1728"/>
          </w:tcPr>
          <w:p>
            <w:r>
              <w:t>Retorna 200 e vincula à campanha</w:t>
            </w:r>
          </w:p>
        </w:tc>
        <w:tc>
          <w:tcPr>
            <w:tcW w:type="dxa" w:w="1728"/>
          </w:tcPr>
          <w:p>
            <w:r>
              <w:t>CA-05</w:t>
            </w:r>
          </w:p>
        </w:tc>
        <w:tc>
          <w:tcPr>
            <w:tcW w:type="dxa" w:w="1728"/>
          </w:tcPr>
          <w:p>
            <w:r>
              <w:t>Sim</w:t>
            </w:r>
          </w:p>
        </w:tc>
      </w:tr>
      <w:tr>
        <w:tc>
          <w:tcPr>
            <w:tcW w:type="dxa" w:w="1728"/>
          </w:tcPr>
          <w:p>
            <w:r>
              <w:t>ATD-628-CT06</w:t>
            </w:r>
          </w:p>
        </w:tc>
        <w:tc>
          <w:tcPr>
            <w:tcW w:type="dxa" w:w="1728"/>
          </w:tcPr>
          <w:p>
            <w:r>
              <w:t>Exportar com filtro aplicado</w:t>
            </w:r>
          </w:p>
        </w:tc>
        <w:tc>
          <w:tcPr>
            <w:tcW w:type="dxa" w:w="1728"/>
          </w:tcPr>
          <w:p>
            <w:r>
              <w:t>Gera CSV só com contatos do filtro</w:t>
            </w:r>
          </w:p>
        </w:tc>
        <w:tc>
          <w:tcPr>
            <w:tcW w:type="dxa" w:w="1728"/>
          </w:tcPr>
          <w:p>
            <w:r>
              <w:t>CA-06</w:t>
            </w:r>
          </w:p>
        </w:tc>
        <w:tc>
          <w:tcPr>
            <w:tcW w:type="dxa" w:w="1728"/>
          </w:tcPr>
          <w:p>
            <w:r>
              <w:t>Sim</w:t>
            </w:r>
          </w:p>
        </w:tc>
      </w:tr>
      <w:tr>
        <w:tc>
          <w:tcPr>
            <w:tcW w:type="dxa" w:w="1728"/>
          </w:tcPr>
          <w:p>
            <w:r>
              <w:t>ATD-628-CT07</w:t>
            </w:r>
          </w:p>
        </w:tc>
        <w:tc>
          <w:tcPr>
            <w:tcW w:type="dxa" w:w="1728"/>
          </w:tcPr>
          <w:p>
            <w:r>
              <w:t>Exportar respeitando a empresa</w:t>
            </w:r>
          </w:p>
        </w:tc>
        <w:tc>
          <w:tcPr>
            <w:tcW w:type="dxa" w:w="1728"/>
          </w:tcPr>
          <w:p>
            <w:r>
              <w:t>Sem vazamento de contatos entre empresas</w:t>
            </w:r>
          </w:p>
        </w:tc>
        <w:tc>
          <w:tcPr>
            <w:tcW w:type="dxa" w:w="1728"/>
          </w:tcPr>
          <w:p>
            <w:r>
              <w:t>CA-07</w:t>
            </w:r>
          </w:p>
        </w:tc>
        <w:tc>
          <w:tcPr>
            <w:tcW w:type="dxa" w:w="1728"/>
          </w:tcPr>
          <w:p>
            <w:r>
              <w:t>Sim</w:t>
            </w:r>
          </w:p>
        </w:tc>
      </w:tr>
    </w:tbl>
    <w:p/>
    <w:p>
      <w:pPr>
        <w:pStyle w:val="Heading1"/>
      </w:pPr>
      <w:r>
        <w:rPr>
          <w:color w:val="1F4E79"/>
        </w:rPr>
        <w:t>5. Como o Ultron publica no Huly</w:t>
      </w:r>
    </w:p>
    <w:p>
      <w:r>
        <w:rPr>
          <w:i w:val="0"/>
        </w:rPr>
        <w:t>O script Python do Ultron fala diretamente com Jira, Linear e GitHub via HTTP. O Huly, porém, é acessado pelo MCP — então o agente ultron-qa faz a ponte:</w:t>
      </w:r>
    </w:p>
    <w:p>
      <w:pPr>
        <w:pStyle w:val="ListNumber"/>
      </w:pPr>
      <w:r>
        <w:t>Buscar o card no Huly via MCP get_issue.</w:t>
      </w:r>
    </w:p>
    <w:p>
      <w:pPr>
        <w:pStyle w:val="ListNumber"/>
      </w:pPr>
      <w:r>
        <w:t>Gravar título + descrição num JSON local (HULY_CARD_FILE).</w:t>
      </w:r>
    </w:p>
    <w:p>
      <w:pPr>
        <w:pStyle w:val="ListNumber"/>
      </w:pPr>
      <w:r>
        <w:t>Rodar o Ultron com PM_PROVIDER=huly — ele gera o comentário e salva em qa-docs/&lt;CARD&gt;/ultron-comment.md.</w:t>
      </w:r>
    </w:p>
    <w:p>
      <w:pPr>
        <w:pStyle w:val="ListNumber"/>
      </w:pPr>
      <w:r>
        <w:t>Revisar o comentário gerado com o QA antes de publicar.</w:t>
      </w:r>
    </w:p>
    <w:p>
      <w:pPr>
        <w:pStyle w:val="ListNumber"/>
      </w:pPr>
      <w:r>
        <w:t>Publicar no card via MCP add_comment e adicionar a label "Ultron".</w:t>
      </w:r>
    </w:p>
    <w:p>
      <w:pPr>
        <w:pStyle w:val="Heading1"/>
      </w:pPr>
      <w:r>
        <w:t>6. Cards core backend — testes de API</w:t>
      </w:r>
    </w:p>
    <w:p>
      <w:r>
        <w:t>Cards com o component "core backend" geralmente geram apenas testes de API. Nesses casos a tabela padrão de casos não basta: um caso de API precisa do contrato (body enviado, status code e corpo da resposta esperada).</w:t>
      </w:r>
    </w:p>
    <w:p>
      <w:r>
        <w:t>Formato recomendado para casos de API (uma linha por caso, ID sequencial igual ao padrão):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Título do Teste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Status Code</w:t>
            </w:r>
          </w:p>
        </w:tc>
        <w:tc>
          <w:tcPr>
            <w:tcW w:type="dxa" w:w="1728"/>
          </w:tcPr>
          <w:p>
            <w:r>
              <w:t>Resposta Esperada</w:t>
            </w:r>
          </w:p>
        </w:tc>
      </w:tr>
      <w:tr>
        <w:tc>
          <w:tcPr>
            <w:tcW w:type="dxa" w:w="1728"/>
          </w:tcPr>
          <w:p>
            <w:r>
              <w:t>CARD-CT01</w:t>
            </w:r>
          </w:p>
        </w:tc>
        <w:tc>
          <w:tcPr>
            <w:tcW w:type="dxa" w:w="1728"/>
          </w:tcPr>
          <w:p>
            <w:r>
              <w:t>[verbo + alvo do caso]</w:t>
            </w:r>
          </w:p>
        </w:tc>
        <w:tc>
          <w:tcPr>
            <w:tcW w:type="dxa" w:w="1728"/>
          </w:tcPr>
          <w:p>
            <w:r>
              <w:t>[payload ou —]</w:t>
            </w:r>
          </w:p>
        </w:tc>
        <w:tc>
          <w:tcPr>
            <w:tcW w:type="dxa" w:w="1728"/>
          </w:tcPr>
          <w:p>
            <w:r>
              <w:t>[200/201/422…]</w:t>
            </w:r>
          </w:p>
        </w:tc>
        <w:tc>
          <w:tcPr>
            <w:tcW w:type="dxa" w:w="1728"/>
          </w:tcPr>
          <w:p>
            <w:r>
              <w:t>[contrato da resposta]</w:t>
            </w:r>
          </w:p>
        </w:tc>
      </w:tr>
      <w:tr>
        <w:tc>
          <w:tcPr>
            <w:tcW w:type="dxa" w:w="1728"/>
          </w:tcPr>
          <w:p>
            <w:r>
              <w:t>CARD-CT02</w:t>
            </w:r>
          </w:p>
        </w:tc>
        <w:tc>
          <w:tcPr>
            <w:tcW w:type="dxa" w:w="1728"/>
          </w:tcPr>
          <w:p>
            <w:r>
              <w:t>[verbo + alvo do caso]</w:t>
            </w:r>
          </w:p>
        </w:tc>
        <w:tc>
          <w:tcPr>
            <w:tcW w:type="dxa" w:w="1728"/>
          </w:tcPr>
          <w:p>
            <w:r>
              <w:t>[payload ou —]</w:t>
            </w:r>
          </w:p>
        </w:tc>
        <w:tc>
          <w:tcPr>
            <w:tcW w:type="dxa" w:w="1728"/>
          </w:tcPr>
          <w:p>
            <w:r>
              <w:t>[200/201/422…]</w:t>
            </w:r>
          </w:p>
        </w:tc>
        <w:tc>
          <w:tcPr>
            <w:tcW w:type="dxa" w:w="1728"/>
          </w:tcPr>
          <w:p>
            <w:r>
              <w:t>[contrato da resposta]</w:t>
            </w:r>
          </w:p>
        </w:tc>
      </w:tr>
    </w:tbl>
    <w:p>
      <w:r>
        <w:t>Base URL e endpoint ficam subentendidos do card — não entram na tabela. Por enquanto NÃO há detecção automática do component: o Ultron lê apenas id, título e descrição do card (CardData em pm_client.py não captura label/component). Quando o teste for de API, sinalize manualmente ao rodar o agente para usar este formato. Regra mantida: nunca inventar contrato — o que não estiver no card ou no Swagger é marcado como "⚠️ A confirmar".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