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047132" w14:textId="061BE789" w:rsidR="00224A9C" w:rsidRDefault="001D47FE" w:rsidP="001D47FE">
      <w:pPr>
        <w:pStyle w:val="Paragrafoelenco"/>
        <w:numPr>
          <w:ilvl w:val="0"/>
          <w:numId w:val="14"/>
        </w:numPr>
        <w:spacing w:line="360" w:lineRule="auto"/>
        <w:jc w:val="both"/>
      </w:pPr>
      <w:r>
        <w:t xml:space="preserve">Pag. 15: sono presenti 2 template, uno dei quali (ordinanza generica applicazione provvisoria misura) </w:t>
      </w:r>
      <w:r w:rsidR="00224A9C">
        <w:t>si può tranquillamente eliminare (per</w:t>
      </w:r>
      <w:r>
        <w:t>altro nell’intestazione</w:t>
      </w:r>
      <w:r w:rsidR="00224A9C">
        <w:t xml:space="preserve"> riporta </w:t>
      </w:r>
      <w:r>
        <w:t xml:space="preserve">ancora </w:t>
      </w:r>
      <w:r w:rsidR="00224A9C">
        <w:t xml:space="preserve">il </w:t>
      </w:r>
      <w:r>
        <w:t>collegio</w:t>
      </w:r>
      <w:r w:rsidR="00224A9C">
        <w:t>), in quanto l’altro è a mio parere sufficiente;</w:t>
      </w:r>
      <w:r w:rsidR="00465C0B">
        <w:t xml:space="preserve"> </w:t>
      </w:r>
      <w:r w:rsidR="00465C0B" w:rsidRPr="00C11F29">
        <w:rPr>
          <w:b/>
          <w:bCs/>
          <w:highlight w:val="green"/>
        </w:rPr>
        <w:t xml:space="preserve">Eliminare le </w:t>
      </w:r>
      <w:proofErr w:type="spellStart"/>
      <w:r w:rsidR="00465C0B" w:rsidRPr="00C11F29">
        <w:rPr>
          <w:b/>
          <w:bCs/>
          <w:highlight w:val="green"/>
        </w:rPr>
        <w:t>insert</w:t>
      </w:r>
      <w:proofErr w:type="spellEnd"/>
      <w:r w:rsidR="00465C0B" w:rsidRPr="00C11F29">
        <w:rPr>
          <w:b/>
          <w:bCs/>
          <w:highlight w:val="green"/>
        </w:rPr>
        <w:t xml:space="preserve"> Template SIUS_OR_0680_1,….</w:t>
      </w:r>
    </w:p>
    <w:p w14:paraId="549808AD" w14:textId="097A93FB" w:rsidR="00224A9C" w:rsidRDefault="00224A9C" w:rsidP="001D47FE">
      <w:pPr>
        <w:pStyle w:val="Paragrafoelenco"/>
        <w:numPr>
          <w:ilvl w:val="0"/>
          <w:numId w:val="14"/>
        </w:numPr>
        <w:spacing w:line="360" w:lineRule="auto"/>
        <w:jc w:val="both"/>
      </w:pPr>
      <w:r>
        <w:t>Pag. 18: Si è verificato il seguente errore: dopo aver restituito gli atti al Presidente, ho prefissato una udienza e subito dopo ho cancellato la prefissazione. Ho successivamente tentato di cancellare il provvedimento di restituzione atti al presidente, ma nella maschera di “dettaglio restituzione atti al presidente” non comparivano più le icone di modifica e cancellazione;</w:t>
      </w:r>
      <w:r w:rsidR="00052127">
        <w:t xml:space="preserve"> </w:t>
      </w:r>
      <w:r w:rsidR="00052127" w:rsidRPr="00200E6D">
        <w:rPr>
          <w:b/>
          <w:bCs/>
          <w:highlight w:val="green"/>
        </w:rPr>
        <w:t>2023/11 Potremmo abilitare le funzioni di modifica e cancellazione anche se lo stato del procedimento è ISCRITTO</w:t>
      </w:r>
    </w:p>
    <w:p w14:paraId="7E45E5D2" w14:textId="757A1087" w:rsidR="00BD1900" w:rsidRPr="00BA686F" w:rsidRDefault="00224A9C" w:rsidP="001D47FE">
      <w:pPr>
        <w:pStyle w:val="Paragrafoelenco"/>
        <w:numPr>
          <w:ilvl w:val="0"/>
          <w:numId w:val="14"/>
        </w:numPr>
        <w:spacing w:line="360" w:lineRule="auto"/>
        <w:jc w:val="both"/>
        <w:rPr>
          <w:highlight w:val="green"/>
        </w:rPr>
      </w:pPr>
      <w:r>
        <w:t xml:space="preserve">Pag. 20: Nella maschera </w:t>
      </w:r>
      <w:r w:rsidR="00C73199">
        <w:t xml:space="preserve">“dettaglio esecutività ordinanza …” </w:t>
      </w:r>
      <w:r w:rsidR="00BD1900" w:rsidRPr="001D47FE">
        <w:t xml:space="preserve"> </w:t>
      </w:r>
      <w:r w:rsidR="00C73199">
        <w:t>deve essere data la possibilità di effettuare il trasferimento telematico con l’apposito tasto. Non ho la possibilità di verificare se un trasferimento fatto tornando sulla maschera di deposito dell’ordinanza provvisoria possa andare a buon fine ma ad ogni modo, se pure così fosse, non devo essere costretto a tornare su detta maschera per effettuare il trasferimento telematico;</w:t>
      </w:r>
      <w:r w:rsidR="00A11635">
        <w:t xml:space="preserve"> </w:t>
      </w:r>
      <w:r w:rsidR="00A11635" w:rsidRPr="00BA686F">
        <w:rPr>
          <w:b/>
          <w:bCs/>
          <w:highlight w:val="green"/>
        </w:rPr>
        <w:t xml:space="preserve">Nella form di </w:t>
      </w:r>
      <w:r w:rsidR="00A11635" w:rsidRPr="00BA686F">
        <w:rPr>
          <w:rFonts w:ascii="Tahoma" w:hAnsi="Tahoma" w:cs="Tahoma"/>
          <w:b/>
          <w:bCs/>
          <w:color w:val="000080"/>
          <w:sz w:val="18"/>
          <w:szCs w:val="18"/>
          <w:highlight w:val="green"/>
          <w:bdr w:val="none" w:sz="0" w:space="0" w:color="auto" w:frame="1"/>
        </w:rPr>
        <w:t xml:space="preserve">Dettaglio </w:t>
      </w:r>
      <w:r w:rsidR="00C11F29" w:rsidRPr="00BA686F">
        <w:rPr>
          <w:rFonts w:ascii="Tahoma" w:hAnsi="Tahoma" w:cs="Tahoma"/>
          <w:b/>
          <w:bCs/>
          <w:color w:val="000080"/>
          <w:sz w:val="18"/>
          <w:szCs w:val="18"/>
          <w:highlight w:val="green"/>
          <w:bdr w:val="none" w:sz="0" w:space="0" w:color="auto" w:frame="1"/>
        </w:rPr>
        <w:t>Esecutività</w:t>
      </w:r>
      <w:r w:rsidR="00A11635" w:rsidRPr="00BA686F">
        <w:rPr>
          <w:rFonts w:ascii="Tahoma" w:hAnsi="Tahoma" w:cs="Tahoma"/>
          <w:b/>
          <w:bCs/>
          <w:color w:val="000080"/>
          <w:sz w:val="18"/>
          <w:szCs w:val="18"/>
          <w:highlight w:val="green"/>
          <w:bdr w:val="none" w:sz="0" w:space="0" w:color="auto" w:frame="1"/>
        </w:rPr>
        <w:t>̀ Ordinanza Applicazione Provvisoria M.A aggiungere il tasto di trasmissione (lo stesso che è riportato sul Deposito Ordinanza)</w:t>
      </w:r>
    </w:p>
    <w:p w14:paraId="12D44E4F" w14:textId="1484A604" w:rsidR="00C73199" w:rsidRDefault="00C73199" w:rsidP="001D47FE">
      <w:pPr>
        <w:pStyle w:val="Paragrafoelenco"/>
        <w:numPr>
          <w:ilvl w:val="0"/>
          <w:numId w:val="14"/>
        </w:numPr>
        <w:spacing w:line="360" w:lineRule="auto"/>
        <w:jc w:val="both"/>
      </w:pPr>
      <w:r>
        <w:t>Pag. 22: mi sembra di ricordare di averlo già segnalato in passato, ma ad ogni modo segnalo anche ora che il primo avviso “L’ordinanza di applicazione provvisoria è priva della data di esecutività” non deve essere bloccante ma, per l’appunto, un mero warning che consente di procedere anche in assenza della data di esecutività;</w:t>
      </w:r>
      <w:r w:rsidR="00A11635">
        <w:t xml:space="preserve"> Modificare il Messaggio in </w:t>
      </w:r>
      <w:r w:rsidR="00A11635" w:rsidRPr="00F625C7">
        <w:rPr>
          <w:b/>
          <w:bCs/>
          <w:highlight w:val="green"/>
        </w:rPr>
        <w:t>“L’ordinanza di applicazione provvisoria è priva della data di esecutività. Si vuole procedere con la Ratifica?   SI   NO”</w:t>
      </w:r>
    </w:p>
    <w:p w14:paraId="0FF7AF22" w14:textId="0772B1AD" w:rsidR="0012628C" w:rsidRDefault="0012628C" w:rsidP="001D47FE">
      <w:pPr>
        <w:pStyle w:val="Paragrafoelenco"/>
        <w:numPr>
          <w:ilvl w:val="0"/>
          <w:numId w:val="14"/>
        </w:numPr>
        <w:spacing w:line="360" w:lineRule="auto"/>
        <w:jc w:val="both"/>
      </w:pPr>
      <w:r>
        <w:t xml:space="preserve">Dopo l’ammissione provvisoria e l’indicazione della data di esecutorietà, lo stato del procedimento risulta, correttamente, </w:t>
      </w:r>
      <w:r>
        <w:rPr>
          <w:rFonts w:ascii="Tahoma" w:hAnsi="Tahoma" w:cs="Tahoma"/>
          <w:b/>
          <w:bCs/>
          <w:color w:val="FF0000"/>
          <w:sz w:val="18"/>
          <w:szCs w:val="18"/>
        </w:rPr>
        <w:t>Emessa Ordinanza Applicazione Provvisoria.</w:t>
      </w:r>
      <w:r>
        <w:rPr>
          <w:rFonts w:ascii="Tahoma" w:hAnsi="Tahoma" w:cs="Tahoma"/>
          <w:b/>
          <w:bCs/>
          <w:color w:val="000080"/>
          <w:sz w:val="18"/>
          <w:szCs w:val="18"/>
        </w:rPr>
        <w:t xml:space="preserve"> </w:t>
      </w:r>
      <w:r>
        <w:t xml:space="preserve"> Dopo la prefissazione dell’udienza per la conferma, lo stato del procedimento, erroneamente, torna ad essere “iscritto”</w:t>
      </w:r>
      <w:r w:rsidR="003A1E73">
        <w:t>;</w:t>
      </w:r>
      <w:r w:rsidR="00752A12">
        <w:t xml:space="preserve"> </w:t>
      </w:r>
      <w:r w:rsidR="00752A12" w:rsidRPr="00641AB6">
        <w:rPr>
          <w:highlight w:val="green"/>
        </w:rPr>
        <w:t>Rivedere la Prefissazione Udienza: Non deve reimpostare lo stato procedimento ad iscritto</w:t>
      </w:r>
    </w:p>
    <w:p w14:paraId="6502400C" w14:textId="2C7CB334" w:rsidR="003A1E73" w:rsidRPr="001D47FE" w:rsidRDefault="003A1E73" w:rsidP="001D47FE">
      <w:pPr>
        <w:pStyle w:val="Paragrafoelenco"/>
        <w:numPr>
          <w:ilvl w:val="0"/>
          <w:numId w:val="14"/>
        </w:numPr>
        <w:spacing w:line="360" w:lineRule="auto"/>
        <w:jc w:val="both"/>
      </w:pPr>
      <w:r>
        <w:t>Pag. 25: va modificata la maschera (Figura 20), nel senso che la dicitura “</w:t>
      </w:r>
      <w:r w:rsidRPr="00641AB6">
        <w:rPr>
          <w:b/>
        </w:rPr>
        <w:t>Ordinanze non emesse</w:t>
      </w:r>
      <w:r>
        <w:t>” va modificata in “</w:t>
      </w:r>
      <w:r w:rsidRPr="00641AB6">
        <w:rPr>
          <w:color w:val="FF0000"/>
        </w:rPr>
        <w:t>Procedimenti con Magistrato designato - Ordinanze non emesse</w:t>
      </w:r>
      <w:r>
        <w:t>”, mentre quella “</w:t>
      </w:r>
      <w:r w:rsidRPr="00641AB6">
        <w:rPr>
          <w:b/>
        </w:rPr>
        <w:t>Ordinanze Applicazione provvisoria Emesse ma prive di Decisione del Collegio</w:t>
      </w:r>
      <w:r>
        <w:t>” va modificata in “</w:t>
      </w:r>
      <w:r w:rsidRPr="00641AB6">
        <w:rPr>
          <w:color w:val="FF0000"/>
        </w:rPr>
        <w:t>Ordinanze Emesse con data esecutività inserita, ma prive di Decisione del Collegio</w:t>
      </w:r>
      <w:r>
        <w:t>”. Ciò, ovviamente, per rendere più comprensibile all’utente il senso della ricerca</w:t>
      </w:r>
      <w:r w:rsidR="00C8728D">
        <w:t xml:space="preserve">   </w:t>
      </w:r>
      <w:r w:rsidR="00C8728D" w:rsidRPr="00641AB6">
        <w:rPr>
          <w:highlight w:val="green"/>
        </w:rPr>
        <w:t xml:space="preserve">Modificare le diciture in </w:t>
      </w:r>
      <w:hyperlink r:id="rId6" w:history="1">
        <w:r w:rsidR="00C8728D" w:rsidRPr="00641AB6">
          <w:rPr>
            <w:rStyle w:val="Collegamentoipertestuale"/>
            <w:rFonts w:ascii="Tahoma" w:hAnsi="Tahoma" w:cs="Tahoma"/>
            <w:color w:val="auto"/>
            <w:sz w:val="17"/>
            <w:szCs w:val="17"/>
            <w:highlight w:val="green"/>
          </w:rPr>
          <w:t>Statistiche/Monitoraggio</w:t>
        </w:r>
      </w:hyperlink>
      <w:r w:rsidR="00C8728D" w:rsidRPr="00641AB6">
        <w:rPr>
          <w:rFonts w:ascii="Tahoma" w:hAnsi="Tahoma" w:cs="Tahoma"/>
          <w:sz w:val="17"/>
          <w:szCs w:val="17"/>
          <w:highlight w:val="green"/>
        </w:rPr>
        <w:t xml:space="preserve"> </w:t>
      </w:r>
      <w:r w:rsidR="00C8728D" w:rsidRPr="00641AB6">
        <w:rPr>
          <w:rStyle w:val="Enfasigrassetto"/>
          <w:rFonts w:ascii="Tahoma" w:hAnsi="Tahoma" w:cs="Tahoma"/>
          <w:sz w:val="18"/>
          <w:szCs w:val="18"/>
          <w:highlight w:val="green"/>
        </w:rPr>
        <w:t>»</w:t>
      </w:r>
      <w:r w:rsidR="00C8728D" w:rsidRPr="00641AB6">
        <w:rPr>
          <w:rFonts w:ascii="Tahoma" w:hAnsi="Tahoma" w:cs="Tahoma"/>
          <w:sz w:val="17"/>
          <w:szCs w:val="17"/>
          <w:highlight w:val="green"/>
        </w:rPr>
        <w:t xml:space="preserve"> </w:t>
      </w:r>
      <w:hyperlink r:id="rId7" w:history="1">
        <w:r w:rsidR="00C8728D" w:rsidRPr="00641AB6">
          <w:rPr>
            <w:rStyle w:val="Collegamentoipertestuale"/>
            <w:rFonts w:ascii="Tahoma" w:hAnsi="Tahoma" w:cs="Tahoma"/>
            <w:b/>
            <w:bCs/>
            <w:color w:val="auto"/>
            <w:sz w:val="17"/>
            <w:szCs w:val="17"/>
            <w:highlight w:val="green"/>
          </w:rPr>
          <w:t>Monitoraggio Misure Alternative (art. 678 comma 1-ter c.p.p.)</w:t>
        </w:r>
      </w:hyperlink>
      <w:bookmarkStart w:id="0" w:name="_GoBack"/>
      <w:bookmarkEnd w:id="0"/>
    </w:p>
    <w:sectPr w:rsidR="003A1E73" w:rsidRPr="001D47FE" w:rsidSect="00C818E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4A2740"/>
    <w:multiLevelType w:val="hybridMultilevel"/>
    <w:tmpl w:val="33023F1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nsid w:val="05F9427E"/>
    <w:multiLevelType w:val="hybridMultilevel"/>
    <w:tmpl w:val="0776ABA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nsid w:val="20C02E9A"/>
    <w:multiLevelType w:val="hybridMultilevel"/>
    <w:tmpl w:val="D6B0E06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nsid w:val="2412009E"/>
    <w:multiLevelType w:val="hybridMultilevel"/>
    <w:tmpl w:val="13BC727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nsid w:val="252A6743"/>
    <w:multiLevelType w:val="hybridMultilevel"/>
    <w:tmpl w:val="5F583A5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nsid w:val="2B9E1989"/>
    <w:multiLevelType w:val="hybridMultilevel"/>
    <w:tmpl w:val="FB905F7E"/>
    <w:lvl w:ilvl="0" w:tplc="04100011">
      <w:start w:val="1"/>
      <w:numFmt w:val="decimal"/>
      <w:lvlText w:val="%1)"/>
      <w:lvlJc w:val="left"/>
      <w:pPr>
        <w:ind w:left="720" w:hanging="360"/>
      </w:pPr>
      <w:rPr>
        <w:rFonts w:hint="default"/>
        <w:b w:val="0"/>
        <w:u w:val="non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336028E8"/>
    <w:multiLevelType w:val="hybridMultilevel"/>
    <w:tmpl w:val="0C08F23A"/>
    <w:lvl w:ilvl="0" w:tplc="2A9AA2B6">
      <w:numFmt w:val="bullet"/>
      <w:lvlText w:val="•"/>
      <w:lvlJc w:val="left"/>
      <w:pPr>
        <w:ind w:left="360" w:hanging="360"/>
      </w:pPr>
      <w:rPr>
        <w:rFonts w:ascii="Calibri" w:eastAsiaTheme="minorHAnsi" w:hAnsi="Calibri" w:cs="Calibr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nsid w:val="45825592"/>
    <w:multiLevelType w:val="hybridMultilevel"/>
    <w:tmpl w:val="8116CC1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nsid w:val="49DB0D57"/>
    <w:multiLevelType w:val="hybridMultilevel"/>
    <w:tmpl w:val="20E09E9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nsid w:val="4DD05EA7"/>
    <w:multiLevelType w:val="hybridMultilevel"/>
    <w:tmpl w:val="D9AC53A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nsid w:val="758E21D4"/>
    <w:multiLevelType w:val="hybridMultilevel"/>
    <w:tmpl w:val="B4EAF1A8"/>
    <w:lvl w:ilvl="0" w:tplc="06A41E60">
      <w:start w:val="1"/>
      <w:numFmt w:val="decimal"/>
      <w:lvlText w:val="%1)"/>
      <w:lvlJc w:val="left"/>
      <w:pPr>
        <w:ind w:left="1080" w:hanging="360"/>
      </w:pPr>
      <w:rPr>
        <w:rFonts w:hint="default"/>
        <w:b w:val="0"/>
        <w:u w:val="none"/>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1">
    <w:nsid w:val="77FB31DF"/>
    <w:multiLevelType w:val="hybridMultilevel"/>
    <w:tmpl w:val="D72A10E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nsid w:val="79AC7D6B"/>
    <w:multiLevelType w:val="hybridMultilevel"/>
    <w:tmpl w:val="49BE8B8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nsid w:val="7FB16D6C"/>
    <w:multiLevelType w:val="hybridMultilevel"/>
    <w:tmpl w:val="DE2266FC"/>
    <w:lvl w:ilvl="0" w:tplc="3DEE4490">
      <w:numFmt w:val="bullet"/>
      <w:lvlText w:val="-"/>
      <w:lvlJc w:val="left"/>
      <w:pPr>
        <w:ind w:left="720" w:hanging="360"/>
      </w:pPr>
      <w:rPr>
        <w:rFonts w:ascii="Calibri" w:eastAsiaTheme="minorHAnsi" w:hAnsi="Calibri" w:cs="Calibri" w:hint="default"/>
        <w:sz w:val="24"/>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7"/>
  </w:num>
  <w:num w:numId="4">
    <w:abstractNumId w:val="8"/>
  </w:num>
  <w:num w:numId="5">
    <w:abstractNumId w:val="11"/>
  </w:num>
  <w:num w:numId="6">
    <w:abstractNumId w:val="4"/>
  </w:num>
  <w:num w:numId="7">
    <w:abstractNumId w:val="0"/>
  </w:num>
  <w:num w:numId="8">
    <w:abstractNumId w:val="12"/>
  </w:num>
  <w:num w:numId="9">
    <w:abstractNumId w:val="9"/>
  </w:num>
  <w:num w:numId="10">
    <w:abstractNumId w:val="10"/>
  </w:num>
  <w:num w:numId="11">
    <w:abstractNumId w:val="5"/>
  </w:num>
  <w:num w:numId="12">
    <w:abstractNumId w:val="1"/>
  </w:num>
  <w:num w:numId="13">
    <w:abstractNumId w:val="6"/>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518D"/>
    <w:rsid w:val="00040C08"/>
    <w:rsid w:val="0004585D"/>
    <w:rsid w:val="00045F37"/>
    <w:rsid w:val="00052127"/>
    <w:rsid w:val="000B3C9E"/>
    <w:rsid w:val="0012628C"/>
    <w:rsid w:val="001A25D5"/>
    <w:rsid w:val="001D47FE"/>
    <w:rsid w:val="001F32AF"/>
    <w:rsid w:val="00200E6D"/>
    <w:rsid w:val="00224A9C"/>
    <w:rsid w:val="00224FCD"/>
    <w:rsid w:val="00246C3B"/>
    <w:rsid w:val="0025245F"/>
    <w:rsid w:val="002A6FB1"/>
    <w:rsid w:val="002A7036"/>
    <w:rsid w:val="002E623C"/>
    <w:rsid w:val="002F426D"/>
    <w:rsid w:val="00302E6C"/>
    <w:rsid w:val="003367E7"/>
    <w:rsid w:val="00367975"/>
    <w:rsid w:val="00393C5B"/>
    <w:rsid w:val="00395FD6"/>
    <w:rsid w:val="003A1E73"/>
    <w:rsid w:val="003F4D4D"/>
    <w:rsid w:val="00405D4C"/>
    <w:rsid w:val="00432B30"/>
    <w:rsid w:val="004452F0"/>
    <w:rsid w:val="00452E90"/>
    <w:rsid w:val="00454BC1"/>
    <w:rsid w:val="00464AE7"/>
    <w:rsid w:val="00465C0B"/>
    <w:rsid w:val="00472FEB"/>
    <w:rsid w:val="0048145E"/>
    <w:rsid w:val="005414BD"/>
    <w:rsid w:val="00566EF4"/>
    <w:rsid w:val="00574E9A"/>
    <w:rsid w:val="005C492D"/>
    <w:rsid w:val="006247FE"/>
    <w:rsid w:val="00641AB6"/>
    <w:rsid w:val="006B45A1"/>
    <w:rsid w:val="006D440B"/>
    <w:rsid w:val="006F43BC"/>
    <w:rsid w:val="00722F68"/>
    <w:rsid w:val="0075272D"/>
    <w:rsid w:val="00752A12"/>
    <w:rsid w:val="0078344D"/>
    <w:rsid w:val="00786862"/>
    <w:rsid w:val="007B43FA"/>
    <w:rsid w:val="007F6E81"/>
    <w:rsid w:val="008367E2"/>
    <w:rsid w:val="00861AE3"/>
    <w:rsid w:val="00883587"/>
    <w:rsid w:val="00894D9A"/>
    <w:rsid w:val="008F3912"/>
    <w:rsid w:val="00964D49"/>
    <w:rsid w:val="00970784"/>
    <w:rsid w:val="00985D0D"/>
    <w:rsid w:val="00A11635"/>
    <w:rsid w:val="00A73577"/>
    <w:rsid w:val="00A82631"/>
    <w:rsid w:val="00AB6681"/>
    <w:rsid w:val="00AE02DB"/>
    <w:rsid w:val="00B06AFD"/>
    <w:rsid w:val="00BA686F"/>
    <w:rsid w:val="00BB39BB"/>
    <w:rsid w:val="00BB7CA5"/>
    <w:rsid w:val="00BC7266"/>
    <w:rsid w:val="00BC7F1F"/>
    <w:rsid w:val="00BD1900"/>
    <w:rsid w:val="00BD518D"/>
    <w:rsid w:val="00C003F7"/>
    <w:rsid w:val="00C11F29"/>
    <w:rsid w:val="00C73199"/>
    <w:rsid w:val="00C818E7"/>
    <w:rsid w:val="00C82C2C"/>
    <w:rsid w:val="00C8728D"/>
    <w:rsid w:val="00CF67D4"/>
    <w:rsid w:val="00D235DE"/>
    <w:rsid w:val="00DA7C60"/>
    <w:rsid w:val="00DB2719"/>
    <w:rsid w:val="00DF24F8"/>
    <w:rsid w:val="00E65541"/>
    <w:rsid w:val="00EB515A"/>
    <w:rsid w:val="00EC747A"/>
    <w:rsid w:val="00ED3686"/>
    <w:rsid w:val="00F16CEC"/>
    <w:rsid w:val="00F175C1"/>
    <w:rsid w:val="00F61614"/>
    <w:rsid w:val="00F625C7"/>
    <w:rsid w:val="00F77C30"/>
    <w:rsid w:val="00F8397A"/>
    <w:rsid w:val="00F93B89"/>
    <w:rsid w:val="00FC5568"/>
    <w:rsid w:val="00FE7E78"/>
    <w:rsid w:val="00FF6A2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39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C818E7"/>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1"/>
    <w:qFormat/>
    <w:rsid w:val="00BD518D"/>
    <w:pPr>
      <w:ind w:left="720"/>
      <w:contextualSpacing/>
    </w:pPr>
  </w:style>
  <w:style w:type="character" w:styleId="Collegamentoipertestuale">
    <w:name w:val="Hyperlink"/>
    <w:basedOn w:val="Carpredefinitoparagrafo"/>
    <w:uiPriority w:val="99"/>
    <w:semiHidden/>
    <w:unhideWhenUsed/>
    <w:rsid w:val="00C8728D"/>
    <w:rPr>
      <w:color w:val="0000FF"/>
      <w:u w:val="single"/>
    </w:rPr>
  </w:style>
  <w:style w:type="character" w:styleId="Enfasigrassetto">
    <w:name w:val="Strong"/>
    <w:basedOn w:val="Carpredefinitoparagrafo"/>
    <w:uiPriority w:val="22"/>
    <w:qFormat/>
    <w:rsid w:val="00C8728D"/>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C818E7"/>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1"/>
    <w:qFormat/>
    <w:rsid w:val="00BD518D"/>
    <w:pPr>
      <w:ind w:left="720"/>
      <w:contextualSpacing/>
    </w:pPr>
  </w:style>
  <w:style w:type="character" w:styleId="Collegamentoipertestuale">
    <w:name w:val="Hyperlink"/>
    <w:basedOn w:val="Carpredefinitoparagrafo"/>
    <w:uiPriority w:val="99"/>
    <w:semiHidden/>
    <w:unhideWhenUsed/>
    <w:rsid w:val="00C8728D"/>
    <w:rPr>
      <w:color w:val="0000FF"/>
      <w:u w:val="single"/>
    </w:rPr>
  </w:style>
  <w:style w:type="character" w:styleId="Enfasigrassetto">
    <w:name w:val="Strong"/>
    <w:basedOn w:val="Carpredefinitoparagrafo"/>
    <w:uiPriority w:val="22"/>
    <w:qFormat/>
    <w:rsid w:val="00C872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2383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161.27.213.72:8080/jsp/Main.jsp?Action=siap.sico.security.action.ActLoadOrizontalMenu&amp;IdFunzione=381050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61.27.213.72:8080/jsp/Main.jsp?Action=siap.sico.security.action.ActLoadOrizontalMenu&amp;IdFunzione=38100000"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387</TotalTime>
  <Pages>1</Pages>
  <Words>458</Words>
  <Characters>2612</Characters>
  <Application>Microsoft Office Word</Application>
  <DocSecurity>0</DocSecurity>
  <Lines>21</Lines>
  <Paragraphs>6</Paragraphs>
  <ScaleCrop>false</ScaleCrop>
  <HeadingPairs>
    <vt:vector size="2" baseType="variant">
      <vt:variant>
        <vt:lpstr>Titolo</vt:lpstr>
      </vt:variant>
      <vt:variant>
        <vt:i4>1</vt:i4>
      </vt:variant>
    </vt:vector>
  </HeadingPairs>
  <TitlesOfParts>
    <vt:vector size="1" baseType="lpstr">
      <vt:lpstr/>
    </vt:vector>
  </TitlesOfParts>
  <Company>Ministero della Giustizia</Company>
  <LinksUpToDate>false</LinksUpToDate>
  <CharactersWithSpaces>3064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Luigi Gasbarri</dc:creator>
  <cp:keywords/>
  <dc:description/>
  <cp:lastModifiedBy>Simone Gioggi</cp:lastModifiedBy>
  <cp:revision>7</cp:revision>
  <dcterms:created xsi:type="dcterms:W3CDTF">2023-11-24T14:40:00Z</dcterms:created>
  <dcterms:modified xsi:type="dcterms:W3CDTF">2023-12-07T13:08:00Z</dcterms:modified>
</cp:coreProperties>
</file>