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3C9D4045" w:rsidR="003D31C9" w:rsidRDefault="003D31C9" w:rsidP="67A41DB1">
      <w:pPr>
        <w:jc w:val="both"/>
        <w:rPr>
          <w:sz w:val="26"/>
          <w:szCs w:val="26"/>
        </w:rPr>
      </w:pPr>
      <w:bookmarkStart w:id="0" w:name="_GoBack"/>
      <w:bookmarkEnd w:id="0"/>
      <w:r w:rsidRPr="67A41DB1">
        <w:rPr>
          <w:sz w:val="26"/>
          <w:szCs w:val="26"/>
          <w:u w:val="single"/>
        </w:rPr>
        <w:t>Indicazione generale</w:t>
      </w:r>
      <w:r w:rsidRPr="67A41DB1">
        <w:rPr>
          <w:sz w:val="26"/>
          <w:szCs w:val="26"/>
        </w:rPr>
        <w:t xml:space="preserve">: nella terminologia utilizzata eliminare la dizione “uffici” che precede </w:t>
      </w:r>
      <w:proofErr w:type="gramStart"/>
      <w:r w:rsidRPr="67A41DB1">
        <w:rPr>
          <w:sz w:val="26"/>
          <w:szCs w:val="26"/>
        </w:rPr>
        <w:t>l’indicazione  tribunale</w:t>
      </w:r>
      <w:proofErr w:type="gramEnd"/>
      <w:r w:rsidRPr="67A41DB1">
        <w:rPr>
          <w:sz w:val="26"/>
          <w:szCs w:val="26"/>
        </w:rPr>
        <w:t xml:space="preserve"> di sorveglianza ecc</w:t>
      </w:r>
      <w:r w:rsidR="5F5543CD" w:rsidRPr="67A41DB1">
        <w:rPr>
          <w:sz w:val="26"/>
          <w:szCs w:val="26"/>
        </w:rPr>
        <w:t>.</w:t>
      </w:r>
    </w:p>
    <w:p w14:paraId="581A40A2" w14:textId="6B7255B1" w:rsidR="67A41DB1" w:rsidRDefault="67A41DB1" w:rsidP="67A41DB1">
      <w:pPr>
        <w:jc w:val="both"/>
        <w:rPr>
          <w:sz w:val="26"/>
          <w:szCs w:val="26"/>
        </w:rPr>
      </w:pPr>
    </w:p>
    <w:p w14:paraId="59C2D951" w14:textId="34042523" w:rsidR="5F5543CD" w:rsidRDefault="5F5543CD" w:rsidP="67A41DB1">
      <w:pPr>
        <w:jc w:val="both"/>
        <w:rPr>
          <w:b/>
          <w:bCs/>
          <w:sz w:val="26"/>
          <w:szCs w:val="26"/>
          <w:u w:val="single"/>
        </w:rPr>
      </w:pPr>
      <w:r w:rsidRPr="67A41DB1">
        <w:rPr>
          <w:b/>
          <w:bCs/>
          <w:sz w:val="26"/>
          <w:szCs w:val="26"/>
          <w:u w:val="single"/>
        </w:rPr>
        <w:t xml:space="preserve">Pag. 12 </w:t>
      </w:r>
    </w:p>
    <w:p w14:paraId="1DB9857D" w14:textId="3EE2B7C2" w:rsidR="5F5543CD" w:rsidRDefault="5F5543CD" w:rsidP="67A41DB1">
      <w:pPr>
        <w:jc w:val="both"/>
        <w:rPr>
          <w:sz w:val="26"/>
          <w:szCs w:val="26"/>
        </w:rPr>
      </w:pPr>
      <w:r w:rsidRPr="67A41DB1">
        <w:rPr>
          <w:sz w:val="26"/>
          <w:szCs w:val="26"/>
        </w:rPr>
        <w:t xml:space="preserve"> Eliminare “presumibilmente con decreto” e sostituire con la parola “con ordinanza”</w:t>
      </w:r>
    </w:p>
    <w:p w14:paraId="62F876E5" w14:textId="77777777" w:rsidR="00A66DF3" w:rsidRDefault="00A66DF3" w:rsidP="00A66DF3">
      <w:pPr>
        <w:jc w:val="both"/>
        <w:rPr>
          <w:b/>
          <w:sz w:val="26"/>
          <w:szCs w:val="26"/>
          <w:u w:val="single"/>
        </w:rPr>
      </w:pPr>
      <w:r>
        <w:rPr>
          <w:b/>
          <w:sz w:val="26"/>
          <w:szCs w:val="26"/>
          <w:u w:val="single"/>
        </w:rPr>
        <w:t>Pag. 21</w:t>
      </w:r>
    </w:p>
    <w:p w14:paraId="7A63E265" w14:textId="77777777" w:rsidR="00A66DF3" w:rsidRDefault="00A66DF3" w:rsidP="00A66DF3">
      <w:pPr>
        <w:jc w:val="both"/>
        <w:rPr>
          <w:b/>
          <w:sz w:val="26"/>
          <w:szCs w:val="26"/>
          <w:u w:val="single"/>
        </w:rPr>
      </w:pPr>
      <w:r>
        <w:rPr>
          <w:sz w:val="26"/>
          <w:szCs w:val="26"/>
        </w:rPr>
        <w:t xml:space="preserve">Gli oggetti “Detenzione domiciliare persona di età superiore a sessanta anni se inabile …” e “Detenzione domiciliare per ultrasettantenni” non devono essere visibili nell’applicativo del TDS Minorenni </w:t>
      </w:r>
    </w:p>
    <w:p w14:paraId="0A37501D" w14:textId="77777777" w:rsidR="00A66DF3" w:rsidRDefault="00A66DF3" w:rsidP="008C0516">
      <w:pPr>
        <w:jc w:val="both"/>
        <w:rPr>
          <w:b/>
          <w:sz w:val="26"/>
          <w:szCs w:val="26"/>
          <w:u w:val="single"/>
        </w:rPr>
      </w:pPr>
    </w:p>
    <w:p w14:paraId="3CEB82EA" w14:textId="77777777" w:rsidR="00180F45" w:rsidRDefault="008C0516" w:rsidP="008C0516">
      <w:pPr>
        <w:jc w:val="both"/>
        <w:rPr>
          <w:b/>
          <w:sz w:val="26"/>
          <w:szCs w:val="26"/>
          <w:u w:val="single"/>
        </w:rPr>
      </w:pPr>
      <w:r w:rsidRPr="008C0516">
        <w:rPr>
          <w:b/>
          <w:sz w:val="26"/>
          <w:szCs w:val="26"/>
          <w:u w:val="single"/>
        </w:rPr>
        <w:t xml:space="preserve">Pag. 27 </w:t>
      </w:r>
    </w:p>
    <w:p w14:paraId="16148615" w14:textId="77777777" w:rsidR="008C0516" w:rsidRDefault="008C0516" w:rsidP="008C0516">
      <w:pPr>
        <w:jc w:val="both"/>
        <w:rPr>
          <w:sz w:val="26"/>
          <w:szCs w:val="26"/>
        </w:rPr>
      </w:pPr>
      <w:r>
        <w:rPr>
          <w:sz w:val="26"/>
          <w:szCs w:val="26"/>
        </w:rPr>
        <w:t>Dove è scritto “Magistrato Relatore designato”, si deve precisare che di default deve comparire il nominativo del magistrato a cui è già stato assegnato il procedimento in fase di iscrizione (secondo la ripartizione tabellare) con la possibilità, ovviamente, di modificare l’originaria assegnazione</w:t>
      </w:r>
      <w:r w:rsidR="00442911">
        <w:rPr>
          <w:sz w:val="26"/>
          <w:szCs w:val="26"/>
        </w:rPr>
        <w:t>.</w:t>
      </w:r>
    </w:p>
    <w:p w14:paraId="6AF0AA15" w14:textId="77777777" w:rsidR="00442911" w:rsidRDefault="00442911" w:rsidP="008C0516">
      <w:pPr>
        <w:jc w:val="both"/>
        <w:rPr>
          <w:sz w:val="26"/>
          <w:szCs w:val="26"/>
        </w:rPr>
      </w:pPr>
      <w:r>
        <w:rPr>
          <w:sz w:val="26"/>
          <w:szCs w:val="26"/>
        </w:rPr>
        <w:t xml:space="preserve">Sempre a pag. 27, nell’ultima parte del documento si dice che la data di termine emissione non deve costituire un dato obbligatorio, ma deve semplicemente comparire un avviso in caso di mancata compilazione. A ragion veduta, </w:t>
      </w:r>
      <w:proofErr w:type="gramStart"/>
      <w:r>
        <w:rPr>
          <w:sz w:val="26"/>
          <w:szCs w:val="26"/>
        </w:rPr>
        <w:t>invece,  tale</w:t>
      </w:r>
      <w:proofErr w:type="gramEnd"/>
      <w:r>
        <w:rPr>
          <w:sz w:val="26"/>
          <w:szCs w:val="26"/>
        </w:rPr>
        <w:t xml:space="preserve"> dato deve essere obbligatorio e, di conseguenza, il sistema deve bloccare l’operazione in caso di mancata compilazione.</w:t>
      </w:r>
    </w:p>
    <w:p w14:paraId="29D6B04F" w14:textId="77777777" w:rsidR="008C0516" w:rsidRDefault="008C0516" w:rsidP="008C0516">
      <w:pPr>
        <w:jc w:val="both"/>
        <w:rPr>
          <w:sz w:val="26"/>
          <w:szCs w:val="26"/>
        </w:rPr>
      </w:pPr>
      <w:r>
        <w:rPr>
          <w:sz w:val="26"/>
          <w:szCs w:val="26"/>
        </w:rPr>
        <w:t xml:space="preserve"> </w:t>
      </w:r>
    </w:p>
    <w:p w14:paraId="5463A370" w14:textId="77777777" w:rsidR="008C0516" w:rsidRDefault="008C0516" w:rsidP="008C0516">
      <w:pPr>
        <w:jc w:val="both"/>
        <w:rPr>
          <w:b/>
          <w:sz w:val="26"/>
          <w:szCs w:val="26"/>
          <w:u w:val="single"/>
        </w:rPr>
      </w:pPr>
      <w:r>
        <w:rPr>
          <w:b/>
          <w:sz w:val="26"/>
          <w:szCs w:val="26"/>
          <w:u w:val="single"/>
        </w:rPr>
        <w:t>Pag. 28</w:t>
      </w:r>
    </w:p>
    <w:p w14:paraId="7C0CF3AB" w14:textId="77777777" w:rsidR="008C0516" w:rsidRDefault="008C0516" w:rsidP="008C0516">
      <w:pPr>
        <w:jc w:val="both"/>
        <w:rPr>
          <w:sz w:val="26"/>
          <w:szCs w:val="26"/>
        </w:rPr>
      </w:pPr>
      <w:r>
        <w:rPr>
          <w:sz w:val="26"/>
          <w:szCs w:val="26"/>
        </w:rPr>
        <w:t>Nella maschera si può eliminare il link che consente di inserire/modificare il difensore. Inoltre, come detto nella precedente segnalazione, il nominativo del magistrato deve essere già valorizzato se esso è stato inserito in fase di iscrizione del procedimento.</w:t>
      </w:r>
      <w:r w:rsidR="00D61A88">
        <w:rPr>
          <w:sz w:val="26"/>
          <w:szCs w:val="26"/>
        </w:rPr>
        <w:t xml:space="preserve"> Sempre con riferimento alla maschera, la voce “Data termine emissione (Ammissione Provvisoria)” dovrà essere sostituita con</w:t>
      </w:r>
      <w:r w:rsidR="00D564C7">
        <w:rPr>
          <w:sz w:val="26"/>
          <w:szCs w:val="26"/>
        </w:rPr>
        <w:t xml:space="preserve"> una più puntuale come, ad esempio, </w:t>
      </w:r>
      <w:r w:rsidR="00D61A88">
        <w:rPr>
          <w:sz w:val="26"/>
          <w:szCs w:val="26"/>
        </w:rPr>
        <w:t xml:space="preserve">“Data termine emissione ordinanza provvisoria/Restituzione atti al Presidente”); inoltre deve essere prevista anche la possibilità di indicare un numero di giorni “concesso” dal Presidente per provvedere (la cui decorrenza, ovviamente, </w:t>
      </w:r>
      <w:r w:rsidR="00D564C7">
        <w:rPr>
          <w:sz w:val="26"/>
          <w:szCs w:val="26"/>
        </w:rPr>
        <w:t>sarà individuabile nella data di emissione del decreto)</w:t>
      </w:r>
    </w:p>
    <w:p w14:paraId="429464C9" w14:textId="77777777" w:rsidR="008C0516" w:rsidRDefault="008C0516" w:rsidP="008C0516">
      <w:pPr>
        <w:jc w:val="both"/>
        <w:rPr>
          <w:sz w:val="26"/>
          <w:szCs w:val="26"/>
        </w:rPr>
      </w:pPr>
      <w:r>
        <w:rPr>
          <w:sz w:val="26"/>
          <w:szCs w:val="26"/>
        </w:rPr>
        <w:t xml:space="preserve">L’esito da </w:t>
      </w:r>
      <w:r w:rsidR="00D61A88">
        <w:rPr>
          <w:sz w:val="26"/>
          <w:szCs w:val="26"/>
        </w:rPr>
        <w:t>selezionare in fase di emissione de</w:t>
      </w:r>
      <w:r>
        <w:rPr>
          <w:sz w:val="26"/>
          <w:szCs w:val="26"/>
        </w:rPr>
        <w:t xml:space="preserve">l decreto </w:t>
      </w:r>
      <w:r w:rsidR="00D61A88">
        <w:rPr>
          <w:sz w:val="26"/>
          <w:szCs w:val="26"/>
        </w:rPr>
        <w:t xml:space="preserve">non sarà “Magistrato designato art. 678 1-ter”, bensì </w:t>
      </w:r>
      <w:r w:rsidR="00D564C7">
        <w:rPr>
          <w:sz w:val="26"/>
          <w:szCs w:val="26"/>
        </w:rPr>
        <w:t>“Designa Magistrato art. 678 1-ter c.p.p.)</w:t>
      </w:r>
    </w:p>
    <w:p w14:paraId="5DAB6C7B" w14:textId="77777777" w:rsidR="00AD298D" w:rsidRDefault="00AD298D" w:rsidP="008C0516">
      <w:pPr>
        <w:jc w:val="both"/>
        <w:rPr>
          <w:sz w:val="26"/>
          <w:szCs w:val="26"/>
        </w:rPr>
      </w:pPr>
    </w:p>
    <w:p w14:paraId="5CB5CFBA" w14:textId="77777777" w:rsidR="00AD298D" w:rsidRDefault="00AD298D" w:rsidP="00AD298D">
      <w:pPr>
        <w:jc w:val="both"/>
        <w:rPr>
          <w:b/>
          <w:sz w:val="26"/>
          <w:szCs w:val="26"/>
          <w:u w:val="single"/>
        </w:rPr>
      </w:pPr>
      <w:r>
        <w:rPr>
          <w:b/>
          <w:sz w:val="26"/>
          <w:szCs w:val="26"/>
          <w:u w:val="single"/>
        </w:rPr>
        <w:t>Pag. 29</w:t>
      </w:r>
    </w:p>
    <w:p w14:paraId="46FC80CD" w14:textId="77777777" w:rsidR="00AD298D" w:rsidRDefault="00AD298D" w:rsidP="00AD298D">
      <w:pPr>
        <w:jc w:val="both"/>
        <w:rPr>
          <w:sz w:val="26"/>
          <w:szCs w:val="26"/>
        </w:rPr>
      </w:pPr>
      <w:r>
        <w:rPr>
          <w:sz w:val="26"/>
          <w:szCs w:val="26"/>
        </w:rPr>
        <w:lastRenderedPageBreak/>
        <w:t>La “rettifica” del magistrato assegnatario non deve essere fatta tramite l’apposta funzione presente nella maschera di dettaglio ma</w:t>
      </w:r>
      <w:r w:rsidR="00FE6A0A">
        <w:rPr>
          <w:sz w:val="26"/>
          <w:szCs w:val="26"/>
        </w:rPr>
        <w:t>, per veloc</w:t>
      </w:r>
      <w:r w:rsidR="00577462">
        <w:rPr>
          <w:sz w:val="26"/>
          <w:szCs w:val="26"/>
        </w:rPr>
        <w:t xml:space="preserve">izzare l’operazione, </w:t>
      </w:r>
      <w:r>
        <w:rPr>
          <w:sz w:val="26"/>
          <w:szCs w:val="26"/>
        </w:rPr>
        <w:t xml:space="preserve">il sistema deve proporre un </w:t>
      </w:r>
      <w:proofErr w:type="spellStart"/>
      <w:r>
        <w:rPr>
          <w:sz w:val="26"/>
          <w:szCs w:val="26"/>
        </w:rPr>
        <w:t>warning</w:t>
      </w:r>
      <w:proofErr w:type="spellEnd"/>
      <w:r>
        <w:rPr>
          <w:sz w:val="26"/>
          <w:szCs w:val="26"/>
        </w:rPr>
        <w:t xml:space="preserve"> che segnali la discrepanza e che chieda di confermare o meno il cambiamento del nominativo.</w:t>
      </w:r>
    </w:p>
    <w:p w14:paraId="02EB378F" w14:textId="77777777" w:rsidR="007D5913" w:rsidRDefault="007D5913" w:rsidP="00AD298D">
      <w:pPr>
        <w:jc w:val="both"/>
        <w:rPr>
          <w:sz w:val="26"/>
          <w:szCs w:val="26"/>
        </w:rPr>
      </w:pPr>
    </w:p>
    <w:p w14:paraId="16C4FEC5" w14:textId="77777777" w:rsidR="00442911" w:rsidRDefault="00442911" w:rsidP="00442911">
      <w:pPr>
        <w:jc w:val="both"/>
        <w:rPr>
          <w:b/>
          <w:sz w:val="26"/>
          <w:szCs w:val="26"/>
          <w:u w:val="single"/>
        </w:rPr>
      </w:pPr>
      <w:r>
        <w:rPr>
          <w:b/>
          <w:sz w:val="26"/>
          <w:szCs w:val="26"/>
          <w:u w:val="single"/>
        </w:rPr>
        <w:t>Pag. 30</w:t>
      </w:r>
    </w:p>
    <w:p w14:paraId="7B236E46" w14:textId="77777777" w:rsidR="00442911" w:rsidRDefault="00442911" w:rsidP="00442911">
      <w:pPr>
        <w:jc w:val="both"/>
        <w:rPr>
          <w:sz w:val="26"/>
          <w:szCs w:val="26"/>
        </w:rPr>
      </w:pPr>
      <w:r>
        <w:rPr>
          <w:sz w:val="26"/>
          <w:szCs w:val="26"/>
        </w:rPr>
        <w:t>Nel quartultimo rigo, sostituire la dicitura “</w:t>
      </w:r>
      <w:r w:rsidR="00240F2E">
        <w:rPr>
          <w:sz w:val="26"/>
          <w:szCs w:val="26"/>
        </w:rPr>
        <w:t xml:space="preserve">rito dibattimentale” con “rito ordinario” </w:t>
      </w:r>
    </w:p>
    <w:p w14:paraId="6A05A809" w14:textId="77777777" w:rsidR="00240F2E" w:rsidRDefault="00240F2E" w:rsidP="00442911">
      <w:pPr>
        <w:jc w:val="both"/>
        <w:rPr>
          <w:sz w:val="26"/>
          <w:szCs w:val="26"/>
        </w:rPr>
      </w:pPr>
    </w:p>
    <w:p w14:paraId="58DC4B24" w14:textId="77777777" w:rsidR="007D5913" w:rsidRDefault="007D5913" w:rsidP="007D5913">
      <w:pPr>
        <w:jc w:val="both"/>
        <w:rPr>
          <w:b/>
          <w:sz w:val="26"/>
          <w:szCs w:val="26"/>
          <w:u w:val="single"/>
        </w:rPr>
      </w:pPr>
      <w:r>
        <w:rPr>
          <w:b/>
          <w:sz w:val="26"/>
          <w:szCs w:val="26"/>
          <w:u w:val="single"/>
        </w:rPr>
        <w:t>Pag. 32</w:t>
      </w:r>
    </w:p>
    <w:p w14:paraId="518B4783" w14:textId="77777777" w:rsidR="007D5913" w:rsidRDefault="007D5913" w:rsidP="007D5913">
      <w:pPr>
        <w:jc w:val="both"/>
        <w:rPr>
          <w:sz w:val="26"/>
          <w:szCs w:val="26"/>
        </w:rPr>
      </w:pPr>
      <w:r>
        <w:rPr>
          <w:sz w:val="26"/>
          <w:szCs w:val="26"/>
        </w:rPr>
        <w:t>Il campo “</w:t>
      </w:r>
      <w:proofErr w:type="gramStart"/>
      <w:r>
        <w:rPr>
          <w:sz w:val="26"/>
          <w:szCs w:val="26"/>
        </w:rPr>
        <w:t>Note”  deve</w:t>
      </w:r>
      <w:proofErr w:type="gramEnd"/>
      <w:r>
        <w:rPr>
          <w:sz w:val="26"/>
          <w:szCs w:val="26"/>
        </w:rPr>
        <w:t xml:space="preserve"> essere più grande.</w:t>
      </w:r>
    </w:p>
    <w:p w14:paraId="04EB7086" w14:textId="77777777" w:rsidR="007D5913" w:rsidRDefault="007D5913" w:rsidP="007D5913">
      <w:pPr>
        <w:jc w:val="both"/>
        <w:rPr>
          <w:sz w:val="26"/>
          <w:szCs w:val="26"/>
        </w:rPr>
      </w:pPr>
      <w:r>
        <w:rPr>
          <w:sz w:val="26"/>
          <w:szCs w:val="26"/>
        </w:rPr>
        <w:t>Tra gli esiti deve essere eliminato “Concede” e quello “Applica provvisoriamente” deve essere il primo della lista.</w:t>
      </w:r>
    </w:p>
    <w:p w14:paraId="421AEA22" w14:textId="77777777" w:rsidR="007D5913" w:rsidRDefault="007D5913" w:rsidP="007D5913">
      <w:pPr>
        <w:jc w:val="both"/>
        <w:rPr>
          <w:sz w:val="26"/>
          <w:szCs w:val="26"/>
        </w:rPr>
      </w:pPr>
      <w:r>
        <w:rPr>
          <w:sz w:val="26"/>
          <w:szCs w:val="26"/>
        </w:rPr>
        <w:t>Nel caso di non emissione del provvedimento provvisorio e restituzione atti al Presidente, lo stato del procedimento non dovrà essere “Trasmessi atti al Presidente”, bensì “Restituiti atti al Presidente”.</w:t>
      </w:r>
    </w:p>
    <w:p w14:paraId="5A39BBE3" w14:textId="77777777" w:rsidR="007D5913" w:rsidRDefault="007D5913" w:rsidP="007D5913">
      <w:pPr>
        <w:jc w:val="both"/>
        <w:rPr>
          <w:sz w:val="26"/>
          <w:szCs w:val="26"/>
        </w:rPr>
      </w:pPr>
    </w:p>
    <w:p w14:paraId="41C8F396" w14:textId="77777777" w:rsidR="007D5913" w:rsidRDefault="007D5913" w:rsidP="007D5913">
      <w:pPr>
        <w:jc w:val="both"/>
        <w:rPr>
          <w:sz w:val="26"/>
          <w:szCs w:val="26"/>
        </w:rPr>
      </w:pPr>
    </w:p>
    <w:p w14:paraId="76A8B167" w14:textId="77777777" w:rsidR="007D5913" w:rsidRDefault="007D5913" w:rsidP="007D5913">
      <w:pPr>
        <w:jc w:val="both"/>
        <w:rPr>
          <w:b/>
          <w:sz w:val="26"/>
          <w:szCs w:val="26"/>
          <w:u w:val="single"/>
        </w:rPr>
      </w:pPr>
      <w:r>
        <w:rPr>
          <w:b/>
          <w:sz w:val="26"/>
          <w:szCs w:val="26"/>
          <w:u w:val="single"/>
        </w:rPr>
        <w:t>Pag. 33</w:t>
      </w:r>
    </w:p>
    <w:p w14:paraId="2F07E3F3" w14:textId="77777777" w:rsidR="00BF3646" w:rsidRPr="00BF3646" w:rsidRDefault="00BF3646" w:rsidP="007D5913">
      <w:pPr>
        <w:jc w:val="both"/>
        <w:rPr>
          <w:b/>
          <w:sz w:val="26"/>
          <w:szCs w:val="26"/>
        </w:rPr>
      </w:pPr>
      <w:r w:rsidRPr="00BF3646">
        <w:rPr>
          <w:b/>
          <w:sz w:val="26"/>
          <w:szCs w:val="26"/>
        </w:rPr>
        <w:t>Prima del paragrafo 4.2.4 va inserita la parte relativa al deposito dell’ordinanza provvisoria, che è propedeutico alla esecutività della stessa.</w:t>
      </w:r>
    </w:p>
    <w:p w14:paraId="245B7DAD" w14:textId="77777777" w:rsidR="007D5913" w:rsidRDefault="007D5913" w:rsidP="007D5913">
      <w:pPr>
        <w:jc w:val="both"/>
        <w:rPr>
          <w:sz w:val="26"/>
          <w:szCs w:val="26"/>
        </w:rPr>
      </w:pPr>
      <w:r>
        <w:rPr>
          <w:sz w:val="26"/>
          <w:szCs w:val="26"/>
        </w:rPr>
        <w:t xml:space="preserve">La voce del menu a tendina denominata “Esecutività Applicazione Provvisoria </w:t>
      </w:r>
      <w:proofErr w:type="spellStart"/>
      <w:r>
        <w:rPr>
          <w:sz w:val="26"/>
          <w:szCs w:val="26"/>
        </w:rPr>
        <w:t>m.a</w:t>
      </w:r>
      <w:proofErr w:type="spellEnd"/>
      <w:r>
        <w:rPr>
          <w:sz w:val="26"/>
          <w:szCs w:val="26"/>
        </w:rPr>
        <w:t xml:space="preserve">.” deve essere sostituita con “Esecutività Ordinanza Applicazione Provvisoria </w:t>
      </w:r>
      <w:proofErr w:type="spellStart"/>
      <w:r>
        <w:rPr>
          <w:sz w:val="26"/>
          <w:szCs w:val="26"/>
        </w:rPr>
        <w:t>m.a</w:t>
      </w:r>
      <w:proofErr w:type="spellEnd"/>
      <w:r>
        <w:rPr>
          <w:sz w:val="26"/>
          <w:szCs w:val="26"/>
        </w:rPr>
        <w:t>.”</w:t>
      </w:r>
    </w:p>
    <w:p w14:paraId="72A3D3EC" w14:textId="77777777" w:rsidR="007D5913" w:rsidRDefault="007D5913" w:rsidP="007D5913">
      <w:pPr>
        <w:jc w:val="both"/>
        <w:rPr>
          <w:sz w:val="26"/>
          <w:szCs w:val="26"/>
        </w:rPr>
      </w:pPr>
    </w:p>
    <w:p w14:paraId="30FF1AB5" w14:textId="77777777" w:rsidR="007D5913" w:rsidRDefault="007D5913" w:rsidP="007D5913">
      <w:pPr>
        <w:jc w:val="both"/>
        <w:rPr>
          <w:b/>
          <w:sz w:val="26"/>
          <w:szCs w:val="26"/>
          <w:u w:val="single"/>
        </w:rPr>
      </w:pPr>
      <w:r>
        <w:rPr>
          <w:b/>
          <w:sz w:val="26"/>
          <w:szCs w:val="26"/>
          <w:u w:val="single"/>
        </w:rPr>
        <w:t>Pag. 34</w:t>
      </w:r>
    </w:p>
    <w:p w14:paraId="63D81C1A" w14:textId="77777777" w:rsidR="007D5913" w:rsidRPr="008C0516" w:rsidRDefault="007D5913" w:rsidP="007D5913">
      <w:pPr>
        <w:jc w:val="both"/>
        <w:rPr>
          <w:sz w:val="26"/>
          <w:szCs w:val="26"/>
        </w:rPr>
      </w:pPr>
      <w:r>
        <w:rPr>
          <w:sz w:val="26"/>
          <w:szCs w:val="26"/>
        </w:rPr>
        <w:t>Probabilmente è superfluo segnalarlo, ma occorre specificare che l’attività di registrazione della data di esecutività dell’ordinanza provvisoria deve essere inibita nel caso in cui non risulti emesso alcun provvedimento provvisorio.</w:t>
      </w:r>
    </w:p>
    <w:p w14:paraId="0D0B940D" w14:textId="77777777" w:rsidR="007D5913" w:rsidRDefault="007D5913" w:rsidP="007D5913">
      <w:pPr>
        <w:jc w:val="both"/>
        <w:rPr>
          <w:sz w:val="26"/>
          <w:szCs w:val="26"/>
        </w:rPr>
      </w:pPr>
    </w:p>
    <w:p w14:paraId="08E18621" w14:textId="77777777" w:rsidR="002D0990" w:rsidRDefault="002D0990" w:rsidP="002D0990">
      <w:pPr>
        <w:jc w:val="both"/>
        <w:rPr>
          <w:b/>
          <w:sz w:val="26"/>
          <w:szCs w:val="26"/>
          <w:u w:val="single"/>
        </w:rPr>
      </w:pPr>
      <w:r>
        <w:rPr>
          <w:b/>
          <w:sz w:val="26"/>
          <w:szCs w:val="26"/>
          <w:u w:val="single"/>
        </w:rPr>
        <w:t>Pag. 35</w:t>
      </w:r>
    </w:p>
    <w:p w14:paraId="3F707108" w14:textId="77777777" w:rsidR="002D0990" w:rsidRPr="008C0516" w:rsidRDefault="001C5103" w:rsidP="002D0990">
      <w:pPr>
        <w:jc w:val="both"/>
        <w:rPr>
          <w:sz w:val="26"/>
          <w:szCs w:val="26"/>
        </w:rPr>
      </w:pPr>
      <w:r>
        <w:rPr>
          <w:sz w:val="26"/>
          <w:szCs w:val="26"/>
        </w:rPr>
        <w:t>Occorre precisare che, una volta inserita la data di esecutività, il sistema deve dare la possibilità di generare una nuova nota di trasmissione del provvedimento contenente, oltre alla data dell’ordinanza e a quella di deposito, anche quella di esecutività.</w:t>
      </w:r>
    </w:p>
    <w:p w14:paraId="0E27B00A" w14:textId="77777777" w:rsidR="002D0990" w:rsidRDefault="002D0990" w:rsidP="007D5913">
      <w:pPr>
        <w:jc w:val="both"/>
        <w:rPr>
          <w:sz w:val="26"/>
          <w:szCs w:val="26"/>
        </w:rPr>
      </w:pPr>
    </w:p>
    <w:p w14:paraId="12264E78" w14:textId="77777777" w:rsidR="003D31C9" w:rsidRPr="003D31C9" w:rsidRDefault="003D31C9" w:rsidP="003D31C9">
      <w:pPr>
        <w:jc w:val="both"/>
        <w:rPr>
          <w:b/>
          <w:sz w:val="26"/>
          <w:szCs w:val="26"/>
          <w:u w:val="single"/>
        </w:rPr>
      </w:pPr>
      <w:r w:rsidRPr="003D31C9">
        <w:rPr>
          <w:b/>
          <w:sz w:val="26"/>
          <w:szCs w:val="26"/>
          <w:u w:val="single"/>
        </w:rPr>
        <w:t>Pag. 36</w:t>
      </w:r>
    </w:p>
    <w:p w14:paraId="386008FA" w14:textId="77777777" w:rsidR="003D31C9" w:rsidRPr="003D31C9" w:rsidRDefault="003D31C9" w:rsidP="003D31C9">
      <w:pPr>
        <w:jc w:val="both"/>
        <w:rPr>
          <w:b/>
          <w:sz w:val="26"/>
          <w:szCs w:val="26"/>
          <w:u w:val="single"/>
        </w:rPr>
      </w:pPr>
      <w:r>
        <w:rPr>
          <w:sz w:val="26"/>
          <w:szCs w:val="26"/>
        </w:rPr>
        <w:t xml:space="preserve">L’unica tipologia di provvedimento da utilizzare per la conferma dell’ordinanza provvisoria è </w:t>
      </w:r>
      <w:r w:rsidRPr="003D31C9">
        <w:rPr>
          <w:b/>
          <w:sz w:val="26"/>
          <w:szCs w:val="26"/>
        </w:rPr>
        <w:t>l’ordinanza</w:t>
      </w:r>
      <w:r>
        <w:rPr>
          <w:sz w:val="26"/>
          <w:szCs w:val="26"/>
        </w:rPr>
        <w:t xml:space="preserve"> e, di conseguenza, va eliminata la </w:t>
      </w:r>
      <w:r w:rsidR="001F0365">
        <w:rPr>
          <w:sz w:val="26"/>
          <w:szCs w:val="26"/>
        </w:rPr>
        <w:t xml:space="preserve">dicitura </w:t>
      </w:r>
      <w:r w:rsidR="001F0365" w:rsidRPr="001F0365">
        <w:rPr>
          <w:b/>
          <w:sz w:val="26"/>
          <w:szCs w:val="26"/>
        </w:rPr>
        <w:t>“o emissione decreto conferma decisione”</w:t>
      </w:r>
      <w:r>
        <w:rPr>
          <w:sz w:val="26"/>
          <w:szCs w:val="26"/>
        </w:rPr>
        <w:t xml:space="preserve">. Allo stesso modo, va eliminata la parte del documento intercorrente tra la pag. 38 </w:t>
      </w:r>
      <w:r w:rsidR="001F0365">
        <w:rPr>
          <w:sz w:val="26"/>
          <w:szCs w:val="26"/>
        </w:rPr>
        <w:t xml:space="preserve">(dove recita </w:t>
      </w:r>
      <w:r>
        <w:rPr>
          <w:sz w:val="26"/>
          <w:szCs w:val="26"/>
        </w:rPr>
        <w:t>“in alternativa all’ordinanza, … “</w:t>
      </w:r>
      <w:r w:rsidR="001F0365">
        <w:rPr>
          <w:sz w:val="26"/>
          <w:szCs w:val="26"/>
        </w:rPr>
        <w:t>)</w:t>
      </w:r>
      <w:r>
        <w:rPr>
          <w:sz w:val="26"/>
          <w:szCs w:val="26"/>
        </w:rPr>
        <w:t xml:space="preserve"> e la fine della pag. 39</w:t>
      </w:r>
    </w:p>
    <w:p w14:paraId="60061E4C" w14:textId="77777777" w:rsidR="003D31C9" w:rsidRDefault="003D31C9" w:rsidP="007D5913">
      <w:pPr>
        <w:jc w:val="both"/>
        <w:rPr>
          <w:sz w:val="26"/>
          <w:szCs w:val="26"/>
        </w:rPr>
      </w:pPr>
    </w:p>
    <w:p w14:paraId="44EAFD9C" w14:textId="77777777" w:rsidR="001F0365" w:rsidRDefault="001F0365" w:rsidP="007D5913">
      <w:pPr>
        <w:jc w:val="both"/>
        <w:rPr>
          <w:sz w:val="26"/>
          <w:szCs w:val="26"/>
        </w:rPr>
      </w:pPr>
    </w:p>
    <w:p w14:paraId="4B94D5A5" w14:textId="77777777" w:rsidR="001F0365" w:rsidRDefault="001F0365" w:rsidP="007D5913">
      <w:pPr>
        <w:jc w:val="both"/>
        <w:rPr>
          <w:sz w:val="26"/>
          <w:szCs w:val="26"/>
        </w:rPr>
      </w:pPr>
    </w:p>
    <w:p w14:paraId="265FEB10" w14:textId="77777777" w:rsidR="00EA4E5A" w:rsidRDefault="00EA4E5A" w:rsidP="00EA4E5A">
      <w:pPr>
        <w:jc w:val="both"/>
        <w:rPr>
          <w:b/>
          <w:sz w:val="26"/>
          <w:szCs w:val="26"/>
          <w:u w:val="single"/>
        </w:rPr>
      </w:pPr>
      <w:r>
        <w:rPr>
          <w:b/>
          <w:sz w:val="26"/>
          <w:szCs w:val="26"/>
          <w:u w:val="single"/>
        </w:rPr>
        <w:t>Pag. 38 e 39</w:t>
      </w:r>
    </w:p>
    <w:p w14:paraId="3EAD3C2A" w14:textId="77777777" w:rsidR="00EA4E5A" w:rsidRDefault="00EA4E5A" w:rsidP="00EA4E5A">
      <w:pPr>
        <w:jc w:val="both"/>
        <w:rPr>
          <w:sz w:val="26"/>
          <w:szCs w:val="26"/>
        </w:rPr>
      </w:pPr>
      <w:r>
        <w:rPr>
          <w:sz w:val="26"/>
          <w:szCs w:val="26"/>
        </w:rPr>
        <w:t xml:space="preserve">E’ </w:t>
      </w:r>
      <w:r w:rsidR="001F0365">
        <w:rPr>
          <w:sz w:val="26"/>
          <w:szCs w:val="26"/>
        </w:rPr>
        <w:t xml:space="preserve">utile ricordare che la </w:t>
      </w:r>
      <w:proofErr w:type="gramStart"/>
      <w:r w:rsidR="001F0365">
        <w:rPr>
          <w:sz w:val="26"/>
          <w:szCs w:val="26"/>
        </w:rPr>
        <w:t>conferma</w:t>
      </w:r>
      <w:r>
        <w:rPr>
          <w:sz w:val="26"/>
          <w:szCs w:val="26"/>
        </w:rPr>
        <w:t xml:space="preserve">  deve</w:t>
      </w:r>
      <w:proofErr w:type="gramEnd"/>
      <w:r>
        <w:rPr>
          <w:sz w:val="26"/>
          <w:szCs w:val="26"/>
        </w:rPr>
        <w:t xml:space="preserve"> essere pronunciata come decisione collegiale; di conseguenza è necessario che venga prima effettuata una prefissazione di udienza, in assenza della quale la conferma non può essere </w:t>
      </w:r>
      <w:r w:rsidR="00AE1867">
        <w:rPr>
          <w:sz w:val="26"/>
          <w:szCs w:val="26"/>
        </w:rPr>
        <w:t>emessa.</w:t>
      </w:r>
    </w:p>
    <w:p w14:paraId="3DEEC669" w14:textId="77777777" w:rsidR="00860FFA" w:rsidRDefault="00860FFA" w:rsidP="00EA4E5A">
      <w:pPr>
        <w:jc w:val="both"/>
        <w:rPr>
          <w:sz w:val="26"/>
          <w:szCs w:val="26"/>
        </w:rPr>
      </w:pPr>
    </w:p>
    <w:p w14:paraId="1529B873" w14:textId="77777777" w:rsidR="00860FFA" w:rsidRDefault="00860FFA" w:rsidP="00860FFA">
      <w:pPr>
        <w:jc w:val="both"/>
        <w:rPr>
          <w:b/>
          <w:sz w:val="26"/>
          <w:szCs w:val="26"/>
          <w:u w:val="single"/>
        </w:rPr>
      </w:pPr>
      <w:r>
        <w:rPr>
          <w:b/>
          <w:sz w:val="26"/>
          <w:szCs w:val="26"/>
          <w:u w:val="single"/>
        </w:rPr>
        <w:t>Pag. 44</w:t>
      </w:r>
    </w:p>
    <w:p w14:paraId="02DCA7AF" w14:textId="77777777" w:rsidR="00860FFA" w:rsidRDefault="00860FFA" w:rsidP="00860FFA">
      <w:pPr>
        <w:jc w:val="both"/>
        <w:rPr>
          <w:sz w:val="26"/>
          <w:szCs w:val="26"/>
        </w:rPr>
      </w:pPr>
      <w:r>
        <w:rPr>
          <w:sz w:val="26"/>
          <w:szCs w:val="26"/>
        </w:rPr>
        <w:t>Alla statistica prevista dal punto 4.2.6.3 ne va aggiunta un’altra che consenta di individuare le ordinanze emesse e prive di esecutività.</w:t>
      </w:r>
    </w:p>
    <w:p w14:paraId="3656B9AB" w14:textId="77777777" w:rsidR="00860FFA" w:rsidRDefault="00860FFA" w:rsidP="00860FFA">
      <w:pPr>
        <w:jc w:val="both"/>
        <w:rPr>
          <w:sz w:val="26"/>
          <w:szCs w:val="26"/>
        </w:rPr>
      </w:pPr>
    </w:p>
    <w:p w14:paraId="45FB0818" w14:textId="77777777" w:rsidR="005C75B5" w:rsidRDefault="005C75B5" w:rsidP="00860FFA">
      <w:pPr>
        <w:jc w:val="both"/>
        <w:rPr>
          <w:sz w:val="26"/>
          <w:szCs w:val="26"/>
        </w:rPr>
      </w:pPr>
    </w:p>
    <w:p w14:paraId="160252F7" w14:textId="77777777" w:rsidR="005D3ABD" w:rsidRDefault="005D3ABD" w:rsidP="005D3ABD">
      <w:pPr>
        <w:jc w:val="both"/>
        <w:rPr>
          <w:b/>
          <w:sz w:val="26"/>
          <w:szCs w:val="26"/>
          <w:u w:val="single"/>
        </w:rPr>
      </w:pPr>
      <w:r>
        <w:rPr>
          <w:b/>
          <w:sz w:val="26"/>
          <w:szCs w:val="26"/>
          <w:u w:val="single"/>
        </w:rPr>
        <w:t>Pag. 47</w:t>
      </w:r>
    </w:p>
    <w:p w14:paraId="12A5A9E3" w14:textId="77777777" w:rsidR="005D3ABD" w:rsidRDefault="005D3ABD" w:rsidP="005D3ABD">
      <w:pPr>
        <w:jc w:val="both"/>
        <w:rPr>
          <w:sz w:val="26"/>
          <w:szCs w:val="26"/>
        </w:rPr>
      </w:pPr>
      <w:r>
        <w:rPr>
          <w:sz w:val="26"/>
          <w:szCs w:val="26"/>
        </w:rPr>
        <w:t>Proposta: sarebbe possibile che la data “atti da restituire entro il …”, una volta inserita nel primo atto istruttorio del procedimento, venga automaticamente riproposta (con la possibilità, ovviamente di modificarla) nelle maschere di creazione di tutti i successivi atti istruttori?</w:t>
      </w:r>
    </w:p>
    <w:p w14:paraId="049F31CB" w14:textId="77777777" w:rsidR="005D3ABD" w:rsidRDefault="005D3ABD" w:rsidP="005D3ABD">
      <w:pPr>
        <w:jc w:val="both"/>
        <w:rPr>
          <w:sz w:val="26"/>
          <w:szCs w:val="26"/>
        </w:rPr>
      </w:pPr>
    </w:p>
    <w:p w14:paraId="36FAA649" w14:textId="77777777" w:rsidR="005D3ABD" w:rsidRDefault="005D3ABD" w:rsidP="005D3ABD">
      <w:pPr>
        <w:jc w:val="both"/>
        <w:rPr>
          <w:b/>
          <w:sz w:val="26"/>
          <w:szCs w:val="26"/>
          <w:u w:val="single"/>
        </w:rPr>
      </w:pPr>
      <w:r>
        <w:rPr>
          <w:b/>
          <w:sz w:val="26"/>
          <w:szCs w:val="26"/>
          <w:u w:val="single"/>
        </w:rPr>
        <w:t>Pag. 49</w:t>
      </w:r>
    </w:p>
    <w:p w14:paraId="1D93AD80" w14:textId="77777777" w:rsidR="005D3ABD" w:rsidRDefault="005D3ABD" w:rsidP="005D3ABD">
      <w:pPr>
        <w:jc w:val="both"/>
        <w:rPr>
          <w:sz w:val="26"/>
          <w:szCs w:val="26"/>
        </w:rPr>
      </w:pPr>
      <w:r>
        <w:rPr>
          <w:sz w:val="26"/>
          <w:szCs w:val="26"/>
        </w:rPr>
        <w:t xml:space="preserve">Nel </w:t>
      </w:r>
      <w:proofErr w:type="spellStart"/>
      <w:r>
        <w:rPr>
          <w:sz w:val="26"/>
          <w:szCs w:val="26"/>
        </w:rPr>
        <w:t>template</w:t>
      </w:r>
      <w:proofErr w:type="spellEnd"/>
      <w:r>
        <w:rPr>
          <w:sz w:val="26"/>
          <w:szCs w:val="26"/>
        </w:rPr>
        <w:t xml:space="preserve"> proposto, la dicitura “PREGO restituire …” dovrebbe essere sostituito da quella “Si chiede di restituire l’atto richiesto entro il giorno …”</w:t>
      </w:r>
    </w:p>
    <w:p w14:paraId="53128261" w14:textId="77777777" w:rsidR="005D3ABD" w:rsidRDefault="005D3ABD" w:rsidP="005D3ABD">
      <w:pPr>
        <w:jc w:val="both"/>
        <w:rPr>
          <w:sz w:val="26"/>
          <w:szCs w:val="26"/>
        </w:rPr>
      </w:pPr>
    </w:p>
    <w:p w14:paraId="209C7492" w14:textId="77777777" w:rsidR="005D3ABD" w:rsidRDefault="00A34992" w:rsidP="005D3ABD">
      <w:pPr>
        <w:jc w:val="both"/>
        <w:rPr>
          <w:b/>
          <w:sz w:val="26"/>
          <w:szCs w:val="26"/>
          <w:u w:val="single"/>
        </w:rPr>
      </w:pPr>
      <w:r>
        <w:rPr>
          <w:b/>
          <w:sz w:val="26"/>
          <w:szCs w:val="26"/>
          <w:u w:val="single"/>
        </w:rPr>
        <w:t>Pag. 50</w:t>
      </w:r>
    </w:p>
    <w:p w14:paraId="51CBDD84" w14:textId="77777777" w:rsidR="00860FFA" w:rsidRDefault="00A34992" w:rsidP="005D3ABD">
      <w:pPr>
        <w:jc w:val="both"/>
        <w:rPr>
          <w:sz w:val="26"/>
          <w:szCs w:val="26"/>
        </w:rPr>
      </w:pPr>
      <w:r>
        <w:rPr>
          <w:sz w:val="26"/>
          <w:szCs w:val="26"/>
        </w:rPr>
        <w:t>La dicitura del pulsante “Atti istruttori con data richiesta restituzione” deve essere sostituita con la seguente “Atti istruttori con data restituzione”.</w:t>
      </w:r>
    </w:p>
    <w:p w14:paraId="62486C05" w14:textId="77777777" w:rsidR="00C15DE9" w:rsidRDefault="00C15DE9" w:rsidP="005D3ABD">
      <w:pPr>
        <w:jc w:val="both"/>
        <w:rPr>
          <w:sz w:val="26"/>
          <w:szCs w:val="26"/>
        </w:rPr>
      </w:pPr>
    </w:p>
    <w:p w14:paraId="0192DB42" w14:textId="77777777" w:rsidR="00A34992" w:rsidRDefault="00A34992" w:rsidP="00A34992">
      <w:pPr>
        <w:jc w:val="both"/>
        <w:rPr>
          <w:b/>
          <w:sz w:val="26"/>
          <w:szCs w:val="26"/>
          <w:u w:val="single"/>
        </w:rPr>
      </w:pPr>
      <w:r>
        <w:rPr>
          <w:b/>
          <w:sz w:val="26"/>
          <w:szCs w:val="26"/>
          <w:u w:val="single"/>
        </w:rPr>
        <w:t>Pag. 51</w:t>
      </w:r>
    </w:p>
    <w:p w14:paraId="7DECB980" w14:textId="77777777" w:rsidR="00A34992" w:rsidRPr="008C0516" w:rsidRDefault="00A34992" w:rsidP="00A34992">
      <w:pPr>
        <w:jc w:val="both"/>
        <w:rPr>
          <w:sz w:val="26"/>
          <w:szCs w:val="26"/>
        </w:rPr>
      </w:pPr>
      <w:r>
        <w:rPr>
          <w:sz w:val="26"/>
          <w:szCs w:val="26"/>
        </w:rPr>
        <w:t xml:space="preserve">L’estrazione dati deve recuperare anche un altro dato, vale a dire lo Stato del procedimento </w:t>
      </w:r>
    </w:p>
    <w:sectPr w:rsidR="00A34992" w:rsidRPr="008C0516" w:rsidSect="00C818E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A2740"/>
    <w:multiLevelType w:val="hybridMultilevel"/>
    <w:tmpl w:val="33023F1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5F9427E"/>
    <w:multiLevelType w:val="hybridMultilevel"/>
    <w:tmpl w:val="0776ABA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20C02E9A"/>
    <w:multiLevelType w:val="hybridMultilevel"/>
    <w:tmpl w:val="D6B0E0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2412009E"/>
    <w:multiLevelType w:val="hybridMultilevel"/>
    <w:tmpl w:val="13BC727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252A6743"/>
    <w:multiLevelType w:val="hybridMultilevel"/>
    <w:tmpl w:val="5F583A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2B9E1989"/>
    <w:multiLevelType w:val="hybridMultilevel"/>
    <w:tmpl w:val="FB905F7E"/>
    <w:lvl w:ilvl="0" w:tplc="04100011">
      <w:start w:val="1"/>
      <w:numFmt w:val="decimal"/>
      <w:lvlText w:val="%1)"/>
      <w:lvlJc w:val="left"/>
      <w:pPr>
        <w:ind w:left="720" w:hanging="360"/>
      </w:pPr>
      <w:rPr>
        <w:rFonts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3A325EBF"/>
    <w:multiLevelType w:val="hybridMultilevel"/>
    <w:tmpl w:val="FE8A852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45825592"/>
    <w:multiLevelType w:val="hybridMultilevel"/>
    <w:tmpl w:val="8116CC1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49DB0D57"/>
    <w:multiLevelType w:val="hybridMultilevel"/>
    <w:tmpl w:val="20E09E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4DD05EA7"/>
    <w:multiLevelType w:val="hybridMultilevel"/>
    <w:tmpl w:val="D9AC53A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758E21D4"/>
    <w:multiLevelType w:val="hybridMultilevel"/>
    <w:tmpl w:val="B4EAF1A8"/>
    <w:lvl w:ilvl="0" w:tplc="06A41E60">
      <w:start w:val="1"/>
      <w:numFmt w:val="decimal"/>
      <w:lvlText w:val="%1)"/>
      <w:lvlJc w:val="left"/>
      <w:pPr>
        <w:ind w:left="1080" w:hanging="360"/>
      </w:pPr>
      <w:rPr>
        <w:rFonts w:hint="default"/>
        <w:b w:val="0"/>
        <w:u w:val="none"/>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nsid w:val="77FB31DF"/>
    <w:multiLevelType w:val="hybridMultilevel"/>
    <w:tmpl w:val="D72A10E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79AC7D6B"/>
    <w:multiLevelType w:val="hybridMultilevel"/>
    <w:tmpl w:val="49BE8B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8"/>
  </w:num>
  <w:num w:numId="5">
    <w:abstractNumId w:val="11"/>
  </w:num>
  <w:num w:numId="6">
    <w:abstractNumId w:val="4"/>
  </w:num>
  <w:num w:numId="7">
    <w:abstractNumId w:val="0"/>
  </w:num>
  <w:num w:numId="8">
    <w:abstractNumId w:val="12"/>
  </w:num>
  <w:num w:numId="9">
    <w:abstractNumId w:val="9"/>
  </w:num>
  <w:num w:numId="10">
    <w:abstractNumId w:val="10"/>
  </w:num>
  <w:num w:numId="11">
    <w:abstractNumId w:val="5"/>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2"/>
  </w:compat>
  <w:rsids>
    <w:rsidRoot w:val="00BD518D"/>
    <w:rsid w:val="00040C08"/>
    <w:rsid w:val="0004585D"/>
    <w:rsid w:val="000B3C9E"/>
    <w:rsid w:val="000B7672"/>
    <w:rsid w:val="000C0193"/>
    <w:rsid w:val="00180F45"/>
    <w:rsid w:val="001A25D5"/>
    <w:rsid w:val="001C5103"/>
    <w:rsid w:val="001F0365"/>
    <w:rsid w:val="001F32AF"/>
    <w:rsid w:val="00224FCD"/>
    <w:rsid w:val="00240F2E"/>
    <w:rsid w:val="00246C3B"/>
    <w:rsid w:val="002A7036"/>
    <w:rsid w:val="002D0990"/>
    <w:rsid w:val="002E623C"/>
    <w:rsid w:val="00302E6C"/>
    <w:rsid w:val="00317212"/>
    <w:rsid w:val="00367975"/>
    <w:rsid w:val="00395FD6"/>
    <w:rsid w:val="003D31C9"/>
    <w:rsid w:val="003F4D4D"/>
    <w:rsid w:val="00405D4C"/>
    <w:rsid w:val="00432B30"/>
    <w:rsid w:val="00442911"/>
    <w:rsid w:val="004452F0"/>
    <w:rsid w:val="00452E90"/>
    <w:rsid w:val="00454BC1"/>
    <w:rsid w:val="00464AE7"/>
    <w:rsid w:val="00472FEB"/>
    <w:rsid w:val="0048145E"/>
    <w:rsid w:val="004B2E1B"/>
    <w:rsid w:val="005414BD"/>
    <w:rsid w:val="00566EF4"/>
    <w:rsid w:val="00574E9A"/>
    <w:rsid w:val="00577462"/>
    <w:rsid w:val="005C492D"/>
    <w:rsid w:val="005C75B5"/>
    <w:rsid w:val="005D3ABD"/>
    <w:rsid w:val="005E45D0"/>
    <w:rsid w:val="006247FE"/>
    <w:rsid w:val="006D440B"/>
    <w:rsid w:val="006F43BC"/>
    <w:rsid w:val="0070417C"/>
    <w:rsid w:val="00722F68"/>
    <w:rsid w:val="0075272D"/>
    <w:rsid w:val="0078344D"/>
    <w:rsid w:val="00786862"/>
    <w:rsid w:val="007B43FA"/>
    <w:rsid w:val="007D5913"/>
    <w:rsid w:val="007F6E81"/>
    <w:rsid w:val="008367E2"/>
    <w:rsid w:val="00860FFA"/>
    <w:rsid w:val="00861AE3"/>
    <w:rsid w:val="008670BC"/>
    <w:rsid w:val="00883587"/>
    <w:rsid w:val="00894D9A"/>
    <w:rsid w:val="008C0516"/>
    <w:rsid w:val="008F3912"/>
    <w:rsid w:val="00914B5D"/>
    <w:rsid w:val="00964D49"/>
    <w:rsid w:val="00970784"/>
    <w:rsid w:val="00970C65"/>
    <w:rsid w:val="0099403E"/>
    <w:rsid w:val="009E53DA"/>
    <w:rsid w:val="00A34992"/>
    <w:rsid w:val="00A66DF3"/>
    <w:rsid w:val="00A73577"/>
    <w:rsid w:val="00AA2F6D"/>
    <w:rsid w:val="00AB6681"/>
    <w:rsid w:val="00AD298D"/>
    <w:rsid w:val="00AE1867"/>
    <w:rsid w:val="00B06AFD"/>
    <w:rsid w:val="00B66984"/>
    <w:rsid w:val="00BB39BB"/>
    <w:rsid w:val="00BB7CA5"/>
    <w:rsid w:val="00BD518D"/>
    <w:rsid w:val="00BE194C"/>
    <w:rsid w:val="00BF3646"/>
    <w:rsid w:val="00C003F7"/>
    <w:rsid w:val="00C15DE9"/>
    <w:rsid w:val="00C818E7"/>
    <w:rsid w:val="00CF67D4"/>
    <w:rsid w:val="00CF76EE"/>
    <w:rsid w:val="00D12F15"/>
    <w:rsid w:val="00D235DE"/>
    <w:rsid w:val="00D564C7"/>
    <w:rsid w:val="00D61A88"/>
    <w:rsid w:val="00DA44F1"/>
    <w:rsid w:val="00DA7C60"/>
    <w:rsid w:val="00DF24F8"/>
    <w:rsid w:val="00E65541"/>
    <w:rsid w:val="00EA4E5A"/>
    <w:rsid w:val="00EB515A"/>
    <w:rsid w:val="00ED3686"/>
    <w:rsid w:val="00F16CEC"/>
    <w:rsid w:val="00F175C1"/>
    <w:rsid w:val="00F658F3"/>
    <w:rsid w:val="00F77C30"/>
    <w:rsid w:val="00F970FE"/>
    <w:rsid w:val="00FC5568"/>
    <w:rsid w:val="00FE6A0A"/>
    <w:rsid w:val="00FE7E78"/>
    <w:rsid w:val="00FF6A2F"/>
    <w:rsid w:val="3A839AE9"/>
    <w:rsid w:val="5F5543CD"/>
    <w:rsid w:val="67A41D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47FB"/>
  <w15:docId w15:val="{D6BEA375-0234-4CD3-99CC-34046C6A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C818E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D5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38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E390F8B2C04F4AA2E04B75837F2B9B" ma:contentTypeVersion="4" ma:contentTypeDescription="Creare un nuovo documento." ma:contentTypeScope="" ma:versionID="5d56f4974df64a443dc2b2d1d00eed61">
  <xsd:schema xmlns:xsd="http://www.w3.org/2001/XMLSchema" xmlns:xs="http://www.w3.org/2001/XMLSchema" xmlns:p="http://schemas.microsoft.com/office/2006/metadata/properties" xmlns:ns2="007f5e01-e04a-4125-ae27-501348b4556a" xmlns:ns3="a958aa68-1c55-429c-bf41-34de6073b177" targetNamespace="http://schemas.microsoft.com/office/2006/metadata/properties" ma:root="true" ma:fieldsID="2ca69dc6f3d7566d3de5493e6bdf2475" ns2:_="" ns3:_="">
    <xsd:import namespace="007f5e01-e04a-4125-ae27-501348b4556a"/>
    <xsd:import namespace="a958aa68-1c55-429c-bf41-34de6073b1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f5e01-e04a-4125-ae27-501348b455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58aa68-1c55-429c-bf41-34de6073b177"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CCBE71-1293-4838-B692-446EBBC95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7f5e01-e04a-4125-ae27-501348b4556a"/>
    <ds:schemaRef ds:uri="a958aa68-1c55-429c-bf41-34de6073b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6F06BB-F9AE-4FB7-9D5A-0CEBA21CF0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9D15E8-B598-4285-AA68-57909A25C7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755</Words>
  <Characters>4310</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Ministero della Giustizia</Company>
  <LinksUpToDate>false</LinksUpToDate>
  <CharactersWithSpaces>5055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Gasbarri</dc:creator>
  <cp:keywords/>
  <dc:description/>
  <cp:lastModifiedBy>Luigi Gasbarri</cp:lastModifiedBy>
  <cp:revision>2</cp:revision>
  <dcterms:created xsi:type="dcterms:W3CDTF">2022-11-07T12:00:00Z</dcterms:created>
  <dcterms:modified xsi:type="dcterms:W3CDTF">2022-11-07T12:00:00Z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0x010100E9E390F8B2C04F4AA2E04B75837F2B9B</vt:lpwstr>
  </property>
</Properties>
</file>