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24E" w:rsidRPr="00DF7B7F" w:rsidRDefault="000A424E" w:rsidP="00E264DD">
      <w:pPr>
        <w:pStyle w:val="Titolo3"/>
        <w:numPr>
          <w:ilvl w:val="2"/>
          <w:numId w:val="4"/>
        </w:numPr>
        <w:spacing w:before="0" w:after="0"/>
        <w:rPr>
          <w:rFonts w:asciiTheme="minorHAnsi" w:hAnsiTheme="minorHAnsi"/>
          <w:sz w:val="20"/>
          <w:highlight w:val="green"/>
        </w:rPr>
      </w:pPr>
      <w:bookmarkStart w:id="0" w:name="_Toc51841428"/>
      <w:r w:rsidRPr="00DF7B7F">
        <w:rPr>
          <w:rFonts w:asciiTheme="minorHAnsi" w:hAnsiTheme="minorHAnsi"/>
          <w:sz w:val="20"/>
          <w:highlight w:val="green"/>
        </w:rPr>
        <w:t>REQ-SIE-009-04 TDS/TDSM - Registrazione data Esecutività Ordinanza Applicazione Provvisoria</w:t>
      </w:r>
      <w:bookmarkEnd w:id="0"/>
    </w:p>
    <w:p w:rsidR="000A424E" w:rsidRPr="00DF7B7F" w:rsidRDefault="000A424E" w:rsidP="00E264DD">
      <w:pPr>
        <w:spacing w:line="360" w:lineRule="auto"/>
        <w:rPr>
          <w:rFonts w:asciiTheme="minorHAnsi" w:hAnsiTheme="minorHAnsi"/>
          <w:sz w:val="20"/>
          <w:highlight w:val="green"/>
        </w:rPr>
      </w:pPr>
      <w:r w:rsidRPr="00DF7B7F">
        <w:rPr>
          <w:rFonts w:asciiTheme="minorHAnsi" w:hAnsiTheme="minorHAnsi"/>
          <w:sz w:val="20"/>
          <w:highlight w:val="green"/>
        </w:rPr>
        <w:t xml:space="preserve">Per la registrazione della data di esecutività si prevede di aggiungere una nuova voce menù da inserire nella combo box presente nella maschera di dettaglio del procedimento SIUS.  </w:t>
      </w:r>
    </w:p>
    <w:p w:rsidR="000A424E" w:rsidRPr="00DF7B7F" w:rsidRDefault="000A424E" w:rsidP="00E264DD">
      <w:pPr>
        <w:keepNext/>
        <w:spacing w:line="360" w:lineRule="auto"/>
        <w:rPr>
          <w:rFonts w:asciiTheme="minorHAnsi" w:hAnsiTheme="minorHAnsi" w:cstheme="minorHAnsi"/>
          <w:sz w:val="20"/>
          <w:highlight w:val="green"/>
        </w:rPr>
      </w:pPr>
      <w:r w:rsidRPr="00DF7B7F">
        <w:rPr>
          <w:noProof/>
          <w:sz w:val="20"/>
          <w:highlight w:val="green"/>
        </w:rPr>
        <w:drawing>
          <wp:inline distT="0" distB="0" distL="0" distR="0" wp14:anchorId="1FED35E3" wp14:editId="6A39108A">
            <wp:extent cx="6120765" cy="27178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24E" w:rsidRPr="00D86094" w:rsidRDefault="000A424E" w:rsidP="00E264DD">
      <w:pPr>
        <w:jc w:val="center"/>
        <w:rPr>
          <w:rFonts w:asciiTheme="minorHAnsi" w:hAnsiTheme="minorHAnsi"/>
          <w:b/>
          <w:sz w:val="20"/>
        </w:rPr>
      </w:pPr>
      <w:r w:rsidRPr="00DF7B7F">
        <w:rPr>
          <w:rFonts w:asciiTheme="minorHAnsi" w:hAnsiTheme="minorHAnsi"/>
          <w:b/>
          <w:sz w:val="20"/>
          <w:highlight w:val="green"/>
        </w:rPr>
        <w:t xml:space="preserve">Figura </w:t>
      </w:r>
      <w:r w:rsidRPr="00DF7B7F">
        <w:rPr>
          <w:rFonts w:asciiTheme="minorHAnsi" w:hAnsiTheme="minorHAnsi"/>
          <w:b/>
          <w:sz w:val="20"/>
          <w:highlight w:val="green"/>
        </w:rPr>
        <w:fldChar w:fldCharType="begin"/>
      </w:r>
      <w:r w:rsidRPr="00DF7B7F">
        <w:rPr>
          <w:rFonts w:asciiTheme="minorHAnsi" w:hAnsiTheme="minorHAnsi"/>
          <w:b/>
          <w:sz w:val="20"/>
          <w:highlight w:val="green"/>
        </w:rPr>
        <w:instrText xml:space="preserve"> SEQ Figura \* ARABIC </w:instrText>
      </w:r>
      <w:r w:rsidRPr="00DF7B7F">
        <w:rPr>
          <w:rFonts w:asciiTheme="minorHAnsi" w:hAnsiTheme="minorHAnsi"/>
          <w:b/>
          <w:sz w:val="20"/>
          <w:highlight w:val="green"/>
        </w:rPr>
        <w:fldChar w:fldCharType="separate"/>
      </w:r>
      <w:r w:rsidRPr="00DF7B7F">
        <w:rPr>
          <w:rFonts w:asciiTheme="minorHAnsi" w:hAnsiTheme="minorHAnsi"/>
          <w:b/>
          <w:noProof/>
          <w:sz w:val="20"/>
          <w:highlight w:val="green"/>
        </w:rPr>
        <w:t>11</w:t>
      </w:r>
      <w:r w:rsidRPr="00DF7B7F">
        <w:rPr>
          <w:rFonts w:asciiTheme="minorHAnsi" w:hAnsiTheme="minorHAnsi"/>
          <w:b/>
          <w:sz w:val="20"/>
          <w:highlight w:val="green"/>
        </w:rPr>
        <w:fldChar w:fldCharType="end"/>
      </w:r>
      <w:r w:rsidRPr="00DF7B7F">
        <w:rPr>
          <w:rFonts w:asciiTheme="minorHAnsi" w:hAnsiTheme="minorHAnsi"/>
          <w:b/>
          <w:sz w:val="20"/>
          <w:highlight w:val="green"/>
        </w:rPr>
        <w:t>: Funzione Esecutività Applicazione Provvisoria m.</w:t>
      </w:r>
      <w:r w:rsidR="00600738" w:rsidRPr="00DF7B7F">
        <w:rPr>
          <w:rFonts w:asciiTheme="minorHAnsi" w:hAnsiTheme="minorHAnsi"/>
          <w:b/>
          <w:sz w:val="20"/>
          <w:highlight w:val="green"/>
        </w:rPr>
        <w:t xml:space="preserve"> </w:t>
      </w:r>
      <w:r w:rsidRPr="00DF7B7F">
        <w:rPr>
          <w:rFonts w:asciiTheme="minorHAnsi" w:hAnsiTheme="minorHAnsi"/>
          <w:b/>
          <w:sz w:val="20"/>
          <w:highlight w:val="green"/>
        </w:rPr>
        <w:t>a.</w:t>
      </w:r>
    </w:p>
    <w:p w:rsidR="000A424E" w:rsidRPr="00D86094" w:rsidRDefault="000A424E" w:rsidP="00E264DD">
      <w:pPr>
        <w:spacing w:line="360" w:lineRule="auto"/>
        <w:rPr>
          <w:rFonts w:asciiTheme="minorHAnsi" w:hAnsiTheme="minorHAnsi"/>
          <w:sz w:val="20"/>
          <w:highlight w:val="green"/>
        </w:rPr>
      </w:pPr>
      <w:r w:rsidRPr="00D86094">
        <w:rPr>
          <w:rFonts w:asciiTheme="minorHAnsi" w:hAnsiTheme="minorHAnsi"/>
          <w:sz w:val="20"/>
          <w:highlight w:val="green"/>
        </w:rPr>
        <w:t>Dal punto di vista funzionale, l’attività di registrazione della data di esecutività dell’ordinanza di applicazione provvisoria si pone a valle dell’emissione dell’ordinanza provvisoria.</w:t>
      </w:r>
    </w:p>
    <w:p w:rsidR="000A424E" w:rsidRPr="00D86094" w:rsidRDefault="000A424E" w:rsidP="00E264DD">
      <w:pPr>
        <w:spacing w:line="360" w:lineRule="auto"/>
        <w:rPr>
          <w:rFonts w:asciiTheme="minorHAnsi" w:hAnsiTheme="minorHAnsi"/>
          <w:sz w:val="20"/>
          <w:highlight w:val="green"/>
        </w:rPr>
      </w:pPr>
      <w:r w:rsidRPr="00D86094">
        <w:rPr>
          <w:rFonts w:asciiTheme="minorHAnsi" w:hAnsiTheme="minorHAnsi"/>
          <w:sz w:val="20"/>
          <w:highlight w:val="green"/>
        </w:rPr>
        <w:t xml:space="preserve">Accedendo alla funzione, il sistema, </w:t>
      </w:r>
      <w:r w:rsidRPr="00D86094">
        <w:rPr>
          <w:rFonts w:asciiTheme="minorHAnsi" w:hAnsiTheme="minorHAnsi"/>
          <w:color w:val="FF0000"/>
          <w:sz w:val="20"/>
          <w:highlight w:val="green"/>
        </w:rPr>
        <w:t>solo in caso di esistenza dell’ordinanza di Applicazione Provvisoria depositata e validata</w:t>
      </w:r>
      <w:r w:rsidRPr="00D86094">
        <w:rPr>
          <w:rFonts w:asciiTheme="minorHAnsi" w:hAnsiTheme="minorHAnsi"/>
          <w:sz w:val="20"/>
          <w:highlight w:val="green"/>
        </w:rPr>
        <w:t xml:space="preserve"> (</w:t>
      </w:r>
      <w:r w:rsidRPr="00D86094">
        <w:rPr>
          <w:rFonts w:asciiTheme="minorHAnsi" w:hAnsiTheme="minorHAnsi"/>
          <w:color w:val="FF0000"/>
          <w:sz w:val="20"/>
          <w:highlight w:val="green"/>
        </w:rPr>
        <w:t xml:space="preserve">esistenza di un EVENTO con </w:t>
      </w:r>
      <w:proofErr w:type="spellStart"/>
      <w:r w:rsidRPr="00D86094">
        <w:rPr>
          <w:rFonts w:asciiTheme="minorHAnsi" w:hAnsiTheme="minorHAnsi"/>
          <w:color w:val="FF0000"/>
          <w:sz w:val="20"/>
          <w:highlight w:val="green"/>
        </w:rPr>
        <w:t>cod_tipo_provvedimento</w:t>
      </w:r>
      <w:proofErr w:type="spellEnd"/>
      <w:r w:rsidRPr="00D86094">
        <w:rPr>
          <w:rFonts w:asciiTheme="minorHAnsi" w:hAnsiTheme="minorHAnsi"/>
          <w:color w:val="FF0000"/>
          <w:sz w:val="20"/>
          <w:highlight w:val="green"/>
        </w:rPr>
        <w:t xml:space="preserve"> = 03, </w:t>
      </w:r>
      <w:proofErr w:type="spellStart"/>
      <w:r w:rsidRPr="00D86094">
        <w:rPr>
          <w:rFonts w:asciiTheme="minorHAnsi" w:hAnsiTheme="minorHAnsi"/>
          <w:color w:val="FF0000"/>
          <w:sz w:val="20"/>
          <w:highlight w:val="green"/>
        </w:rPr>
        <w:t>cod_motivo</w:t>
      </w:r>
      <w:proofErr w:type="spellEnd"/>
      <w:r w:rsidRPr="00D86094">
        <w:rPr>
          <w:rFonts w:asciiTheme="minorHAnsi" w:hAnsiTheme="minorHAnsi"/>
          <w:color w:val="FF0000"/>
          <w:sz w:val="20"/>
          <w:highlight w:val="green"/>
        </w:rPr>
        <w:t xml:space="preserve">=0680, </w:t>
      </w:r>
      <w:proofErr w:type="spellStart"/>
      <w:r w:rsidRPr="00D86094">
        <w:rPr>
          <w:rFonts w:asciiTheme="minorHAnsi" w:hAnsiTheme="minorHAnsi"/>
          <w:color w:val="FF0000"/>
          <w:sz w:val="20"/>
          <w:highlight w:val="green"/>
        </w:rPr>
        <w:t>cod_esito</w:t>
      </w:r>
      <w:proofErr w:type="spellEnd"/>
      <w:r w:rsidRPr="00D86094">
        <w:rPr>
          <w:rFonts w:asciiTheme="minorHAnsi" w:hAnsiTheme="minorHAnsi"/>
          <w:color w:val="FF0000"/>
          <w:sz w:val="20"/>
          <w:highlight w:val="green"/>
        </w:rPr>
        <w:t xml:space="preserve">=0270, </w:t>
      </w:r>
      <w:proofErr w:type="spellStart"/>
      <w:r w:rsidRPr="00D86094">
        <w:rPr>
          <w:rFonts w:asciiTheme="minorHAnsi" w:hAnsiTheme="minorHAnsi"/>
          <w:color w:val="FF0000"/>
          <w:sz w:val="20"/>
          <w:highlight w:val="green"/>
        </w:rPr>
        <w:t>flag_documento_registrato</w:t>
      </w:r>
      <w:proofErr w:type="spellEnd"/>
      <w:r w:rsidRPr="00D86094">
        <w:rPr>
          <w:rFonts w:asciiTheme="minorHAnsi" w:hAnsiTheme="minorHAnsi"/>
          <w:color w:val="FF0000"/>
          <w:sz w:val="20"/>
          <w:highlight w:val="green"/>
        </w:rPr>
        <w:t xml:space="preserve"> = ‘S’ e di un DOCUMENTO_ALLEGATO con </w:t>
      </w:r>
      <w:proofErr w:type="spellStart"/>
      <w:r w:rsidRPr="00D86094">
        <w:rPr>
          <w:rFonts w:asciiTheme="minorHAnsi" w:hAnsiTheme="minorHAnsi"/>
          <w:color w:val="FF0000"/>
          <w:sz w:val="20"/>
          <w:highlight w:val="green"/>
        </w:rPr>
        <w:t>cod_tipo_documento</w:t>
      </w:r>
      <w:proofErr w:type="spellEnd"/>
      <w:r w:rsidRPr="00D86094">
        <w:rPr>
          <w:rFonts w:asciiTheme="minorHAnsi" w:hAnsiTheme="minorHAnsi"/>
          <w:color w:val="FF0000"/>
          <w:sz w:val="20"/>
          <w:highlight w:val="green"/>
        </w:rPr>
        <w:t xml:space="preserve"> =02 e </w:t>
      </w:r>
      <w:proofErr w:type="spellStart"/>
      <w:r w:rsidRPr="00D86094">
        <w:rPr>
          <w:rFonts w:asciiTheme="minorHAnsi" w:hAnsiTheme="minorHAnsi"/>
          <w:color w:val="FF0000"/>
          <w:sz w:val="20"/>
          <w:highlight w:val="green"/>
        </w:rPr>
        <w:t>flag_documento_registrato</w:t>
      </w:r>
      <w:proofErr w:type="spellEnd"/>
      <w:r w:rsidRPr="00D86094">
        <w:rPr>
          <w:rFonts w:asciiTheme="minorHAnsi" w:hAnsiTheme="minorHAnsi"/>
          <w:color w:val="FF0000"/>
          <w:sz w:val="20"/>
          <w:highlight w:val="green"/>
        </w:rPr>
        <w:t xml:space="preserve"> = ‘S’</w:t>
      </w:r>
      <w:r w:rsidRPr="00D86094">
        <w:rPr>
          <w:rFonts w:asciiTheme="minorHAnsi" w:hAnsiTheme="minorHAnsi"/>
          <w:sz w:val="20"/>
          <w:highlight w:val="green"/>
        </w:rPr>
        <w:t>),  prospetta una nuova pagina in cui deve essere registrata la data di esecutività dell’ordinanza di applicazione provvisoria.</w:t>
      </w:r>
    </w:p>
    <w:p w:rsidR="000A424E" w:rsidRPr="00D86094" w:rsidRDefault="000A424E" w:rsidP="00E264DD">
      <w:pPr>
        <w:spacing w:line="360" w:lineRule="auto"/>
        <w:rPr>
          <w:rFonts w:asciiTheme="minorHAnsi" w:hAnsiTheme="minorHAnsi"/>
          <w:sz w:val="20"/>
        </w:rPr>
      </w:pPr>
      <w:r w:rsidRPr="00D86094">
        <w:rPr>
          <w:rFonts w:asciiTheme="minorHAnsi" w:hAnsiTheme="minorHAnsi"/>
          <w:sz w:val="20"/>
          <w:highlight w:val="green"/>
        </w:rPr>
        <w:t>A seguire si mostra un esempio di pagina. Le informazioni da riportare sono:</w:t>
      </w:r>
    </w:p>
    <w:p w:rsidR="000A424E" w:rsidRPr="00D86094" w:rsidRDefault="000A424E" w:rsidP="00E264DD">
      <w:pPr>
        <w:pStyle w:val="Paragrafoelenco"/>
        <w:numPr>
          <w:ilvl w:val="0"/>
          <w:numId w:val="2"/>
        </w:numPr>
        <w:rPr>
          <w:sz w:val="20"/>
          <w:highlight w:val="green"/>
        </w:rPr>
      </w:pPr>
      <w:r w:rsidRPr="00D86094">
        <w:rPr>
          <w:sz w:val="20"/>
          <w:highlight w:val="green"/>
        </w:rPr>
        <w:t>Dettaglio procedimento SIUS</w:t>
      </w:r>
    </w:p>
    <w:p w:rsidR="000A424E" w:rsidRPr="00D86094" w:rsidRDefault="000A424E" w:rsidP="00E264DD">
      <w:pPr>
        <w:pStyle w:val="Paragrafoelenco"/>
        <w:numPr>
          <w:ilvl w:val="0"/>
          <w:numId w:val="2"/>
        </w:numPr>
        <w:rPr>
          <w:sz w:val="20"/>
          <w:highlight w:val="green"/>
        </w:rPr>
      </w:pPr>
      <w:r w:rsidRPr="00D86094">
        <w:rPr>
          <w:sz w:val="20"/>
          <w:highlight w:val="green"/>
        </w:rPr>
        <w:t>Dettaglio dati Soggetto</w:t>
      </w:r>
    </w:p>
    <w:p w:rsidR="000A424E" w:rsidRPr="00D86094" w:rsidRDefault="000A424E" w:rsidP="00E264DD">
      <w:pPr>
        <w:pStyle w:val="Paragrafoelenco"/>
        <w:numPr>
          <w:ilvl w:val="0"/>
          <w:numId w:val="2"/>
        </w:numPr>
        <w:rPr>
          <w:sz w:val="20"/>
          <w:highlight w:val="green"/>
        </w:rPr>
      </w:pPr>
      <w:r w:rsidRPr="00D86094">
        <w:rPr>
          <w:sz w:val="20"/>
          <w:highlight w:val="green"/>
        </w:rPr>
        <w:t>Estremi dell’ordinanza provvisoria di Concessione di Misura Alternativa (art. 678 comma 1 -ter)</w:t>
      </w:r>
    </w:p>
    <w:p w:rsidR="000A424E" w:rsidRPr="00D86094" w:rsidRDefault="000A424E" w:rsidP="00E264DD">
      <w:pPr>
        <w:pStyle w:val="Paragrafoelenco"/>
        <w:numPr>
          <w:ilvl w:val="0"/>
          <w:numId w:val="2"/>
        </w:numPr>
        <w:rPr>
          <w:sz w:val="20"/>
          <w:highlight w:val="green"/>
        </w:rPr>
      </w:pPr>
      <w:r w:rsidRPr="00D86094">
        <w:rPr>
          <w:sz w:val="20"/>
          <w:highlight w:val="green"/>
        </w:rPr>
        <w:t>Campo ‘Data Esecutività’</w:t>
      </w:r>
    </w:p>
    <w:p w:rsidR="000A424E" w:rsidRPr="00D86094" w:rsidRDefault="000A424E" w:rsidP="00E264DD">
      <w:pPr>
        <w:pStyle w:val="Paragrafoelenco"/>
        <w:numPr>
          <w:ilvl w:val="0"/>
          <w:numId w:val="2"/>
        </w:numPr>
        <w:rPr>
          <w:sz w:val="20"/>
          <w:highlight w:val="green"/>
        </w:rPr>
      </w:pPr>
      <w:r w:rsidRPr="00D86094">
        <w:rPr>
          <w:sz w:val="20"/>
          <w:highlight w:val="green"/>
        </w:rPr>
        <w:t>Campo note</w:t>
      </w:r>
    </w:p>
    <w:p w:rsidR="000A424E" w:rsidRPr="00D86094" w:rsidRDefault="000A424E" w:rsidP="00E264DD">
      <w:pPr>
        <w:keepNext/>
        <w:spacing w:line="360" w:lineRule="auto"/>
        <w:rPr>
          <w:rFonts w:asciiTheme="minorHAnsi" w:hAnsiTheme="minorHAnsi" w:cstheme="minorHAnsi"/>
          <w:sz w:val="20"/>
          <w:highlight w:val="green"/>
        </w:rPr>
      </w:pPr>
      <w:r w:rsidRPr="00D86094">
        <w:rPr>
          <w:rFonts w:asciiTheme="minorHAnsi" w:hAnsiTheme="minorHAnsi" w:cstheme="minorHAnsi"/>
          <w:noProof/>
          <w:sz w:val="20"/>
          <w:highlight w:val="green"/>
        </w:rPr>
        <w:drawing>
          <wp:inline distT="0" distB="0" distL="0" distR="0" wp14:anchorId="3FBFFC2D" wp14:editId="433A2409">
            <wp:extent cx="6126480" cy="2286000"/>
            <wp:effectExtent l="0" t="0" r="7620" b="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24E" w:rsidRPr="00D86094" w:rsidRDefault="000A424E" w:rsidP="00E264DD">
      <w:pPr>
        <w:jc w:val="center"/>
        <w:rPr>
          <w:rFonts w:asciiTheme="minorHAnsi" w:hAnsiTheme="minorHAnsi"/>
          <w:b/>
          <w:sz w:val="20"/>
          <w:highlight w:val="green"/>
        </w:rPr>
      </w:pPr>
      <w:r w:rsidRPr="00D86094">
        <w:rPr>
          <w:rFonts w:asciiTheme="minorHAnsi" w:hAnsiTheme="minorHAnsi"/>
          <w:b/>
          <w:sz w:val="20"/>
          <w:highlight w:val="green"/>
        </w:rPr>
        <w:t xml:space="preserve">Figura </w:t>
      </w:r>
      <w:r w:rsidRPr="00D86094">
        <w:rPr>
          <w:rFonts w:asciiTheme="minorHAnsi" w:hAnsiTheme="minorHAnsi"/>
          <w:b/>
          <w:sz w:val="20"/>
          <w:highlight w:val="green"/>
        </w:rPr>
        <w:fldChar w:fldCharType="begin"/>
      </w:r>
      <w:r w:rsidRPr="00D86094">
        <w:rPr>
          <w:rFonts w:asciiTheme="minorHAnsi" w:hAnsiTheme="minorHAnsi"/>
          <w:b/>
          <w:sz w:val="20"/>
          <w:highlight w:val="green"/>
        </w:rPr>
        <w:instrText xml:space="preserve"> SEQ Figura \* ARABIC </w:instrText>
      </w:r>
      <w:r w:rsidRPr="00D86094">
        <w:rPr>
          <w:rFonts w:asciiTheme="minorHAnsi" w:hAnsiTheme="minorHAnsi"/>
          <w:b/>
          <w:sz w:val="20"/>
          <w:highlight w:val="green"/>
        </w:rPr>
        <w:fldChar w:fldCharType="separate"/>
      </w:r>
      <w:r w:rsidRPr="00D86094">
        <w:rPr>
          <w:rFonts w:asciiTheme="minorHAnsi" w:hAnsiTheme="minorHAnsi"/>
          <w:b/>
          <w:noProof/>
          <w:sz w:val="20"/>
          <w:highlight w:val="green"/>
        </w:rPr>
        <w:t>12</w:t>
      </w:r>
      <w:r w:rsidRPr="00D86094">
        <w:rPr>
          <w:rFonts w:asciiTheme="minorHAnsi" w:hAnsiTheme="minorHAnsi"/>
          <w:b/>
          <w:sz w:val="20"/>
          <w:highlight w:val="green"/>
        </w:rPr>
        <w:fldChar w:fldCharType="end"/>
      </w:r>
      <w:r w:rsidRPr="00D86094">
        <w:rPr>
          <w:rFonts w:asciiTheme="minorHAnsi" w:hAnsiTheme="minorHAnsi"/>
          <w:b/>
          <w:sz w:val="20"/>
          <w:highlight w:val="green"/>
        </w:rPr>
        <w:t>: Pagina Registrazione Esecutività - (TDS e TDSM)</w:t>
      </w:r>
    </w:p>
    <w:p w:rsidR="00D86094" w:rsidRDefault="00D86094" w:rsidP="00E264DD">
      <w:pPr>
        <w:spacing w:line="360" w:lineRule="auto"/>
        <w:rPr>
          <w:rFonts w:asciiTheme="minorHAnsi" w:hAnsiTheme="minorHAnsi"/>
          <w:sz w:val="20"/>
          <w:highlight w:val="green"/>
        </w:rPr>
      </w:pPr>
    </w:p>
    <w:p w:rsidR="000A424E" w:rsidRPr="00D86094" w:rsidRDefault="000A424E" w:rsidP="00E264DD">
      <w:pPr>
        <w:spacing w:line="360" w:lineRule="auto"/>
        <w:rPr>
          <w:rFonts w:asciiTheme="minorHAnsi" w:hAnsiTheme="minorHAnsi" w:cs="Arial"/>
          <w:color w:val="222222"/>
          <w:sz w:val="20"/>
        </w:rPr>
      </w:pPr>
      <w:r w:rsidRPr="00D86094">
        <w:rPr>
          <w:rFonts w:asciiTheme="minorHAnsi" w:hAnsiTheme="minorHAnsi"/>
          <w:sz w:val="20"/>
          <w:highlight w:val="green"/>
        </w:rPr>
        <w:t xml:space="preserve">I campi editabili sono ‘Data Esecutività’ e ‘note, che a seguito del conferma devono essere registrati nella tabella </w:t>
      </w:r>
      <w:r w:rsidRPr="00D86094">
        <w:rPr>
          <w:rFonts w:asciiTheme="minorHAnsi" w:hAnsiTheme="minorHAnsi" w:cs="Arial"/>
          <w:b/>
          <w:color w:val="FF0000"/>
          <w:sz w:val="20"/>
          <w:highlight w:val="green"/>
        </w:rPr>
        <w:t>deposito_ordinanza_pc</w:t>
      </w:r>
      <w:r w:rsidRPr="00D86094">
        <w:rPr>
          <w:rFonts w:asciiTheme="minorHAnsi" w:hAnsiTheme="minorHAnsi" w:cs="Arial"/>
          <w:color w:val="222222"/>
          <w:sz w:val="20"/>
          <w:highlight w:val="green"/>
        </w:rPr>
        <w:t xml:space="preserve"> </w:t>
      </w:r>
      <w:r w:rsidR="00255979" w:rsidRPr="00D86094">
        <w:rPr>
          <w:rFonts w:asciiTheme="minorHAnsi" w:hAnsiTheme="minorHAnsi" w:cs="Arial"/>
          <w:color w:val="222222"/>
          <w:sz w:val="20"/>
          <w:highlight w:val="green"/>
        </w:rPr>
        <w:t>(</w:t>
      </w:r>
      <w:r w:rsidR="00255979" w:rsidRPr="00D86094">
        <w:rPr>
          <w:rFonts w:asciiTheme="minorHAnsi" w:hAnsiTheme="minorHAnsi" w:cs="Arial"/>
          <w:color w:val="FF0000"/>
          <w:sz w:val="20"/>
          <w:highlight w:val="green"/>
        </w:rPr>
        <w:t xml:space="preserve">colonne </w:t>
      </w:r>
      <w:r w:rsidR="00255979" w:rsidRPr="00D86094">
        <w:rPr>
          <w:rFonts w:asciiTheme="minorHAnsi" w:hAnsiTheme="minorHAnsi" w:cs="Arial"/>
          <w:b/>
          <w:color w:val="FF0000"/>
          <w:sz w:val="20"/>
          <w:highlight w:val="green"/>
        </w:rPr>
        <w:t>DATA_ESECUTIVITA</w:t>
      </w:r>
      <w:r w:rsidR="00255979" w:rsidRPr="00D86094">
        <w:rPr>
          <w:rFonts w:asciiTheme="minorHAnsi" w:hAnsiTheme="minorHAnsi" w:cs="Arial"/>
          <w:color w:val="FF0000"/>
          <w:sz w:val="20"/>
          <w:highlight w:val="green"/>
        </w:rPr>
        <w:t xml:space="preserve"> e </w:t>
      </w:r>
      <w:r w:rsidR="00255979" w:rsidRPr="00D86094">
        <w:rPr>
          <w:rFonts w:asciiTheme="minorHAnsi" w:hAnsiTheme="minorHAnsi" w:cs="Arial"/>
          <w:b/>
          <w:color w:val="FF0000"/>
          <w:sz w:val="20"/>
          <w:highlight w:val="green"/>
        </w:rPr>
        <w:t>NOTE_ATTI</w:t>
      </w:r>
      <w:r w:rsidR="00255979" w:rsidRPr="00D86094">
        <w:rPr>
          <w:rFonts w:asciiTheme="minorHAnsi" w:hAnsiTheme="minorHAnsi" w:cs="Arial"/>
          <w:color w:val="222222"/>
          <w:sz w:val="20"/>
          <w:highlight w:val="green"/>
        </w:rPr>
        <w:t>)</w:t>
      </w:r>
      <w:r w:rsidR="00BB7DAF" w:rsidRPr="00D86094">
        <w:rPr>
          <w:rFonts w:asciiTheme="minorHAnsi" w:hAnsiTheme="minorHAnsi" w:cs="Arial"/>
          <w:color w:val="222222"/>
          <w:sz w:val="20"/>
          <w:highlight w:val="green"/>
        </w:rPr>
        <w:t>.</w:t>
      </w:r>
    </w:p>
    <w:p w:rsidR="000A424E" w:rsidRPr="00D86094" w:rsidRDefault="000A424E" w:rsidP="00E264DD">
      <w:pPr>
        <w:spacing w:line="360" w:lineRule="auto"/>
        <w:rPr>
          <w:rFonts w:asciiTheme="minorHAnsi" w:hAnsiTheme="minorHAnsi" w:cs="Arial"/>
          <w:color w:val="222222"/>
          <w:sz w:val="20"/>
          <w:highlight w:val="green"/>
        </w:rPr>
      </w:pPr>
      <w:r w:rsidRPr="00D86094">
        <w:rPr>
          <w:rFonts w:asciiTheme="minorHAnsi" w:hAnsiTheme="minorHAnsi" w:cs="Arial"/>
          <w:color w:val="222222"/>
          <w:sz w:val="20"/>
          <w:highlight w:val="green"/>
        </w:rPr>
        <w:t>Per la data di esecutività, che è dato obbligatorio da inserire, occorre prevedere, in caso di avvenuta valorizzazione delle date di notifica (operazione non obbligatoria), un controllo che segnali che il valore inserito superi i 10 giorni rispetto alla data dell'ultima notifica. Per una data che superi tale limite, visualizzare un messaggio di avviso sulla pagina con la conferma a procedere comunque con l’inserimento.</w:t>
      </w:r>
    </w:p>
    <w:p w:rsidR="00C07819" w:rsidRDefault="00C07819" w:rsidP="00E264DD">
      <w:pPr>
        <w:spacing w:line="360" w:lineRule="auto"/>
        <w:rPr>
          <w:rFonts w:asciiTheme="minorHAnsi" w:hAnsiTheme="minorHAnsi"/>
          <w:sz w:val="20"/>
        </w:rPr>
      </w:pPr>
    </w:p>
    <w:p w:rsidR="000A424E" w:rsidRPr="00D86094" w:rsidRDefault="000A424E" w:rsidP="00E264DD">
      <w:pPr>
        <w:spacing w:line="360" w:lineRule="auto"/>
        <w:rPr>
          <w:rFonts w:asciiTheme="minorHAnsi" w:hAnsiTheme="minorHAnsi"/>
          <w:sz w:val="20"/>
        </w:rPr>
      </w:pPr>
      <w:r w:rsidRPr="00DF7B7F">
        <w:rPr>
          <w:rFonts w:asciiTheme="minorHAnsi" w:hAnsiTheme="minorHAnsi"/>
          <w:sz w:val="20"/>
          <w:highlight w:val="green"/>
        </w:rPr>
        <w:t>A seguito dell’inserimento, il sistema mostrerà una pagina di dettaglio dell’ordinanza di ammissione provvisoria, mostrando anche la data di esecutività inserita.</w:t>
      </w:r>
    </w:p>
    <w:p w:rsidR="000A424E" w:rsidRDefault="000A424E" w:rsidP="00E264DD">
      <w:pPr>
        <w:spacing w:line="360" w:lineRule="auto"/>
        <w:rPr>
          <w:rFonts w:asciiTheme="minorHAnsi" w:hAnsiTheme="minorHAnsi"/>
          <w:sz w:val="20"/>
        </w:rPr>
      </w:pPr>
      <w:r w:rsidRPr="00AD04CB">
        <w:rPr>
          <w:rFonts w:asciiTheme="minorHAnsi" w:hAnsiTheme="minorHAnsi"/>
          <w:sz w:val="20"/>
          <w:highlight w:val="green"/>
        </w:rPr>
        <w:lastRenderedPageBreak/>
        <w:t xml:space="preserve">Dalla pagina di dettaglio, deve essere possibile accedere alla funzione di </w:t>
      </w:r>
      <w:r w:rsidRPr="00AD04CB">
        <w:rPr>
          <w:rFonts w:asciiTheme="minorHAnsi" w:hAnsiTheme="minorHAnsi"/>
          <w:b/>
          <w:sz w:val="20"/>
          <w:highlight w:val="green"/>
        </w:rPr>
        <w:t>modifica</w:t>
      </w:r>
      <w:r w:rsidRPr="00AD04CB">
        <w:rPr>
          <w:rFonts w:asciiTheme="minorHAnsi" w:hAnsiTheme="minorHAnsi"/>
          <w:sz w:val="20"/>
          <w:highlight w:val="green"/>
        </w:rPr>
        <w:t xml:space="preserve"> della data di esecutività, inoltre deve essere abilitata la </w:t>
      </w:r>
      <w:r w:rsidRPr="00AD04CB">
        <w:rPr>
          <w:rFonts w:asciiTheme="minorHAnsi" w:hAnsiTheme="minorHAnsi"/>
          <w:b/>
          <w:sz w:val="20"/>
          <w:highlight w:val="green"/>
        </w:rPr>
        <w:t>stampa</w:t>
      </w:r>
      <w:r w:rsidRPr="00AD04CB">
        <w:rPr>
          <w:rFonts w:asciiTheme="minorHAnsi" w:hAnsiTheme="minorHAnsi"/>
          <w:sz w:val="20"/>
          <w:highlight w:val="green"/>
        </w:rPr>
        <w:t xml:space="preserve">, </w:t>
      </w:r>
      <w:r w:rsidRPr="00AF1632">
        <w:rPr>
          <w:rFonts w:asciiTheme="minorHAnsi" w:hAnsiTheme="minorHAnsi"/>
          <w:sz w:val="20"/>
          <w:highlight w:val="red"/>
        </w:rPr>
        <w:t>la validazione e la trasmissione telematica verso la Procura titolare del titolo esecutivo per cui è stata presentata istanza di applicazione di misura alternativa</w:t>
      </w:r>
      <w:r w:rsidRPr="00AD04CB">
        <w:rPr>
          <w:rFonts w:asciiTheme="minorHAnsi" w:hAnsiTheme="minorHAnsi"/>
          <w:sz w:val="20"/>
          <w:highlight w:val="green"/>
        </w:rPr>
        <w:t xml:space="preserve">. </w:t>
      </w:r>
      <w:r w:rsidRPr="00070BA6">
        <w:rPr>
          <w:rFonts w:asciiTheme="minorHAnsi" w:hAnsiTheme="minorHAnsi"/>
          <w:sz w:val="20"/>
          <w:highlight w:val="green"/>
        </w:rPr>
        <w:t xml:space="preserve">La stampa deve includere anche </w:t>
      </w:r>
      <w:r w:rsidRPr="00070BA6">
        <w:rPr>
          <w:sz w:val="20"/>
          <w:highlight w:val="green"/>
        </w:rPr>
        <w:t>una nuova nota di trasmissione del provvedimento contenente, oltre alla data dell’ordinanza e a quella di deposito, anche quella di esecutività</w:t>
      </w:r>
      <w:r w:rsidRPr="00AF1632">
        <w:rPr>
          <w:sz w:val="20"/>
          <w:highlight w:val="green"/>
        </w:rPr>
        <w:t xml:space="preserve">. </w:t>
      </w:r>
      <w:r w:rsidRPr="00AF1632">
        <w:rPr>
          <w:rFonts w:asciiTheme="minorHAnsi" w:hAnsiTheme="minorHAnsi"/>
          <w:sz w:val="20"/>
          <w:highlight w:val="green"/>
        </w:rPr>
        <w:t xml:space="preserve">La gestione della ‘ricezione’ e ‘lavorazione’ dell’ordinanza di ammissione provvisoria su SIEP è illustrata al par. </w:t>
      </w:r>
      <w:r w:rsidRPr="00AF1632">
        <w:rPr>
          <w:rFonts w:asciiTheme="minorHAnsi" w:hAnsiTheme="minorHAnsi"/>
          <w:sz w:val="20"/>
          <w:highlight w:val="green"/>
        </w:rPr>
        <w:fldChar w:fldCharType="begin"/>
      </w:r>
      <w:r w:rsidRPr="00AF1632">
        <w:rPr>
          <w:rFonts w:asciiTheme="minorHAnsi" w:hAnsiTheme="minorHAnsi"/>
          <w:sz w:val="20"/>
          <w:highlight w:val="green"/>
        </w:rPr>
        <w:instrText xml:space="preserve"> REF _Ref42793798 \r \h  \* MERGEFORMAT </w:instrText>
      </w:r>
      <w:r w:rsidRPr="00AF1632">
        <w:rPr>
          <w:rFonts w:asciiTheme="minorHAnsi" w:hAnsiTheme="minorHAnsi"/>
          <w:sz w:val="20"/>
          <w:highlight w:val="green"/>
        </w:rPr>
      </w:r>
      <w:r w:rsidRPr="00AF1632">
        <w:rPr>
          <w:rFonts w:asciiTheme="minorHAnsi" w:hAnsiTheme="minorHAnsi"/>
          <w:sz w:val="20"/>
          <w:highlight w:val="green"/>
        </w:rPr>
        <w:fldChar w:fldCharType="separate"/>
      </w:r>
      <w:r w:rsidRPr="00AF1632">
        <w:rPr>
          <w:rFonts w:asciiTheme="minorHAnsi" w:hAnsiTheme="minorHAnsi"/>
          <w:sz w:val="20"/>
          <w:highlight w:val="green"/>
        </w:rPr>
        <w:t>4.3.1</w:t>
      </w:r>
      <w:r w:rsidRPr="00AF1632">
        <w:rPr>
          <w:rFonts w:asciiTheme="minorHAnsi" w:hAnsiTheme="minorHAnsi"/>
          <w:sz w:val="20"/>
          <w:highlight w:val="green"/>
        </w:rPr>
        <w:fldChar w:fldCharType="end"/>
      </w:r>
      <w:r w:rsidRPr="00AF1632">
        <w:rPr>
          <w:rFonts w:asciiTheme="minorHAnsi" w:hAnsiTheme="minorHAnsi"/>
          <w:sz w:val="20"/>
          <w:highlight w:val="green"/>
        </w:rPr>
        <w:t xml:space="preserve"> [REQ-SIE-009-13].</w:t>
      </w:r>
    </w:p>
    <w:p w:rsidR="00AD04CB" w:rsidRPr="00631161" w:rsidRDefault="00AD04CB" w:rsidP="00E264DD">
      <w:pPr>
        <w:spacing w:line="360" w:lineRule="auto"/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</w:pPr>
      <w:r w:rsidRPr="00070BA6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 xml:space="preserve">Se è già presente la data di esecutività, il sistema presenterà la form di Dettaglio, da cui sarà possibile modificare o produrre la stampa o tornare al Dettaglio procedimento. Al momento non prevediamo alcuna validazione, a meno che non ci diranno di memorizzare la prima stampa prodotta e validarla. Esiste un template </w:t>
      </w:r>
      <w:r w:rsidRPr="00070BA6">
        <w:rPr>
          <w:rFonts w:asciiTheme="minorHAnsi" w:hAnsiTheme="minorHAnsi" w:cstheme="minorHAnsi"/>
          <w:b/>
          <w:color w:val="A6A6A6" w:themeColor="background1" w:themeShade="A6"/>
          <w:sz w:val="16"/>
          <w:szCs w:val="16"/>
          <w:highlight w:val="green"/>
          <w:shd w:val="clear" w:color="auto" w:fill="FFFFFF"/>
        </w:rPr>
        <w:t>SIUS_OR_COMESECORD</w:t>
      </w:r>
      <w:r w:rsidRPr="00070BA6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 xml:space="preserve">, sulla base della Nota Trasmissione dell'impugnazione, per l'annotazione data esecutività. Per il momento lo generiamo a volo ogni volta che cliccano sull'icona di stampa. L'xml da richiamare è lo stesso dell'emissione </w:t>
      </w:r>
      <w:r w:rsidRP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>ordinanza.</w:t>
      </w:r>
      <w:r w:rsidR="00631161" w:rsidRP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 xml:space="preserve"> </w:t>
      </w:r>
      <w:r w:rsid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>F</w:t>
      </w:r>
      <w:r w:rsidR="00631161" w:rsidRP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>ar apparire la data di es</w:t>
      </w:r>
      <w:r w:rsid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>e</w:t>
      </w:r>
      <w:r w:rsidR="00631161" w:rsidRP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>cutività nell'elenco Provvedimenti (anche sul Dettaglio Procedimento)</w:t>
      </w:r>
      <w:r w:rsid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>,</w:t>
      </w:r>
      <w:r w:rsidR="00631161" w:rsidRP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 xml:space="preserve"> o</w:t>
      </w:r>
      <w:r w:rsid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>d</w:t>
      </w:r>
      <w:r w:rsidR="00631161" w:rsidRPr="00631161">
        <w:rPr>
          <w:rFonts w:asciiTheme="minorHAnsi" w:hAnsiTheme="minorHAnsi" w:cstheme="minorHAnsi"/>
          <w:color w:val="A6A6A6" w:themeColor="background1" w:themeShade="A6"/>
          <w:sz w:val="16"/>
          <w:szCs w:val="16"/>
          <w:highlight w:val="green"/>
          <w:shd w:val="clear" w:color="auto" w:fill="FFFFFF"/>
        </w:rPr>
        <w:t xml:space="preserve"> aggiungendo una nuova colonna.</w:t>
      </w:r>
    </w:p>
    <w:p w:rsidR="000A424E" w:rsidRPr="009D3348" w:rsidRDefault="000A424E" w:rsidP="00E264DD">
      <w:pPr>
        <w:spacing w:line="360" w:lineRule="auto"/>
        <w:rPr>
          <w:rFonts w:asciiTheme="minorHAnsi" w:hAnsiTheme="minorHAnsi"/>
          <w:sz w:val="20"/>
          <w:highlight w:val="green"/>
        </w:rPr>
      </w:pPr>
      <w:r w:rsidRPr="009D3348">
        <w:rPr>
          <w:rFonts w:asciiTheme="minorHAnsi" w:hAnsiTheme="minorHAnsi"/>
          <w:sz w:val="20"/>
          <w:highlight w:val="green"/>
        </w:rPr>
        <w:t>La data di esecutività impostata, inoltre, dovrà essere visualizzata nella porzione della maschera di dettaglio del procedimento SIUS dedicata ai provvedimenti, come mostrato nella figura che segue:</w:t>
      </w:r>
    </w:p>
    <w:p w:rsidR="000A424E" w:rsidRPr="009D3348" w:rsidRDefault="000A424E" w:rsidP="00E264DD">
      <w:pPr>
        <w:keepNext/>
        <w:spacing w:line="360" w:lineRule="auto"/>
        <w:rPr>
          <w:sz w:val="20"/>
          <w:highlight w:val="green"/>
        </w:rPr>
      </w:pPr>
      <w:r w:rsidRPr="009D3348">
        <w:rPr>
          <w:rFonts w:asciiTheme="minorHAnsi" w:hAnsiTheme="minorHAnsi"/>
          <w:noProof/>
          <w:sz w:val="20"/>
          <w:highlight w:val="green"/>
        </w:rPr>
        <w:drawing>
          <wp:inline distT="0" distB="0" distL="0" distR="0" wp14:anchorId="3F0D1B88" wp14:editId="74E5F5C9">
            <wp:extent cx="6115050" cy="68580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24E" w:rsidRPr="00D86094" w:rsidRDefault="000A424E" w:rsidP="00E264DD">
      <w:pPr>
        <w:jc w:val="center"/>
        <w:rPr>
          <w:rFonts w:asciiTheme="minorHAnsi" w:hAnsiTheme="minorHAnsi"/>
          <w:b/>
          <w:sz w:val="20"/>
        </w:rPr>
      </w:pPr>
      <w:r w:rsidRPr="009D3348">
        <w:rPr>
          <w:rFonts w:asciiTheme="minorHAnsi" w:hAnsiTheme="minorHAnsi"/>
          <w:b/>
          <w:sz w:val="20"/>
          <w:highlight w:val="green"/>
        </w:rPr>
        <w:t xml:space="preserve">Figura </w:t>
      </w:r>
      <w:r w:rsidRPr="009D3348">
        <w:rPr>
          <w:rFonts w:asciiTheme="minorHAnsi" w:hAnsiTheme="minorHAnsi"/>
          <w:b/>
          <w:sz w:val="20"/>
          <w:highlight w:val="green"/>
        </w:rPr>
        <w:fldChar w:fldCharType="begin"/>
      </w:r>
      <w:r w:rsidRPr="009D3348">
        <w:rPr>
          <w:rFonts w:asciiTheme="minorHAnsi" w:hAnsiTheme="minorHAnsi"/>
          <w:b/>
          <w:sz w:val="20"/>
          <w:highlight w:val="green"/>
        </w:rPr>
        <w:instrText xml:space="preserve"> SEQ Figura \* ARABIC </w:instrText>
      </w:r>
      <w:r w:rsidRPr="009D3348">
        <w:rPr>
          <w:rFonts w:asciiTheme="minorHAnsi" w:hAnsiTheme="minorHAnsi"/>
          <w:b/>
          <w:sz w:val="20"/>
          <w:highlight w:val="green"/>
        </w:rPr>
        <w:fldChar w:fldCharType="separate"/>
      </w:r>
      <w:r w:rsidRPr="009D3348">
        <w:rPr>
          <w:rFonts w:asciiTheme="minorHAnsi" w:hAnsiTheme="minorHAnsi"/>
          <w:b/>
          <w:noProof/>
          <w:sz w:val="20"/>
          <w:highlight w:val="green"/>
        </w:rPr>
        <w:t>13</w:t>
      </w:r>
      <w:r w:rsidRPr="009D3348">
        <w:rPr>
          <w:rFonts w:asciiTheme="minorHAnsi" w:hAnsiTheme="minorHAnsi"/>
          <w:b/>
          <w:sz w:val="20"/>
          <w:highlight w:val="green"/>
        </w:rPr>
        <w:fldChar w:fldCharType="end"/>
      </w:r>
      <w:r w:rsidRPr="009D3348">
        <w:rPr>
          <w:rFonts w:asciiTheme="minorHAnsi" w:hAnsiTheme="minorHAnsi"/>
          <w:b/>
          <w:sz w:val="20"/>
          <w:highlight w:val="green"/>
        </w:rPr>
        <w:t>: Sezione Provvedimenti con Data di Esecutività</w:t>
      </w:r>
    </w:p>
    <w:p w:rsidR="00D86094" w:rsidRDefault="00D86094" w:rsidP="00E264DD">
      <w:pPr>
        <w:spacing w:line="360" w:lineRule="auto"/>
        <w:rPr>
          <w:rFonts w:asciiTheme="minorHAnsi" w:hAnsiTheme="minorHAnsi"/>
          <w:sz w:val="20"/>
        </w:rPr>
      </w:pPr>
    </w:p>
    <w:p w:rsidR="000A424E" w:rsidRPr="00123AEC" w:rsidRDefault="000A424E" w:rsidP="00E264DD">
      <w:pPr>
        <w:spacing w:line="360" w:lineRule="auto"/>
        <w:rPr>
          <w:rFonts w:asciiTheme="minorHAnsi" w:hAnsiTheme="minorHAnsi"/>
          <w:color w:val="C45911" w:themeColor="accent2" w:themeShade="BF"/>
          <w:sz w:val="20"/>
          <w:highlight w:val="green"/>
        </w:rPr>
      </w:pPr>
      <w:r w:rsidRPr="00123AEC">
        <w:rPr>
          <w:rFonts w:asciiTheme="minorHAnsi" w:hAnsiTheme="minorHAnsi"/>
          <w:sz w:val="20"/>
          <w:highlight w:val="green"/>
        </w:rPr>
        <w:t xml:space="preserve">La stessa informazione dovrà essere replicata nella pagina di dettaglio provvedimenti, che il sistema mostra in corrispondenza del link </w:t>
      </w:r>
      <w:r w:rsidRPr="00123AEC">
        <w:rPr>
          <w:rFonts w:asciiTheme="minorHAnsi" w:hAnsiTheme="minorHAnsi"/>
          <w:color w:val="FF0000"/>
          <w:sz w:val="20"/>
          <w:highlight w:val="green"/>
          <w:u w:val="single"/>
        </w:rPr>
        <w:t>Provvedimenti</w:t>
      </w:r>
      <w:r w:rsidRPr="00123AEC">
        <w:rPr>
          <w:rFonts w:asciiTheme="minorHAnsi" w:hAnsiTheme="minorHAnsi"/>
          <w:sz w:val="20"/>
          <w:highlight w:val="green"/>
        </w:rPr>
        <w:t>.</w:t>
      </w:r>
    </w:p>
    <w:p w:rsidR="000A424E" w:rsidRPr="00123AEC" w:rsidRDefault="000A424E" w:rsidP="00E264DD">
      <w:pPr>
        <w:keepNext/>
        <w:spacing w:line="360" w:lineRule="auto"/>
        <w:rPr>
          <w:sz w:val="20"/>
          <w:highlight w:val="green"/>
        </w:rPr>
      </w:pPr>
      <w:r w:rsidRPr="00123AEC">
        <w:rPr>
          <w:rFonts w:asciiTheme="minorHAnsi" w:hAnsiTheme="minorHAnsi"/>
          <w:noProof/>
          <w:sz w:val="20"/>
          <w:highlight w:val="green"/>
        </w:rPr>
        <w:drawing>
          <wp:inline distT="0" distB="0" distL="0" distR="0" wp14:anchorId="4AD8259A" wp14:editId="61275079">
            <wp:extent cx="6115050" cy="1247775"/>
            <wp:effectExtent l="0" t="0" r="0" b="9525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24E" w:rsidRPr="00D86094" w:rsidRDefault="000A424E" w:rsidP="00E264DD">
      <w:pPr>
        <w:jc w:val="center"/>
        <w:rPr>
          <w:rFonts w:asciiTheme="minorHAnsi" w:hAnsiTheme="minorHAnsi"/>
          <w:b/>
          <w:sz w:val="20"/>
        </w:rPr>
      </w:pPr>
      <w:r w:rsidRPr="00123AEC">
        <w:rPr>
          <w:rFonts w:asciiTheme="minorHAnsi" w:hAnsiTheme="minorHAnsi"/>
          <w:b/>
          <w:sz w:val="20"/>
          <w:highlight w:val="green"/>
        </w:rPr>
        <w:t xml:space="preserve">Figura </w:t>
      </w:r>
      <w:r w:rsidRPr="00123AEC">
        <w:rPr>
          <w:rFonts w:asciiTheme="minorHAnsi" w:hAnsiTheme="minorHAnsi"/>
          <w:b/>
          <w:sz w:val="20"/>
          <w:highlight w:val="green"/>
        </w:rPr>
        <w:fldChar w:fldCharType="begin"/>
      </w:r>
      <w:r w:rsidRPr="00123AEC">
        <w:rPr>
          <w:rFonts w:asciiTheme="minorHAnsi" w:hAnsiTheme="minorHAnsi"/>
          <w:b/>
          <w:sz w:val="20"/>
          <w:highlight w:val="green"/>
        </w:rPr>
        <w:instrText xml:space="preserve"> SEQ Figura \* ARABIC </w:instrText>
      </w:r>
      <w:r w:rsidRPr="00123AEC">
        <w:rPr>
          <w:rFonts w:asciiTheme="minorHAnsi" w:hAnsiTheme="minorHAnsi"/>
          <w:b/>
          <w:sz w:val="20"/>
          <w:highlight w:val="green"/>
        </w:rPr>
        <w:fldChar w:fldCharType="separate"/>
      </w:r>
      <w:r w:rsidRPr="00123AEC">
        <w:rPr>
          <w:rFonts w:asciiTheme="minorHAnsi" w:hAnsiTheme="minorHAnsi"/>
          <w:b/>
          <w:noProof/>
          <w:sz w:val="20"/>
          <w:highlight w:val="green"/>
        </w:rPr>
        <w:t>14</w:t>
      </w:r>
      <w:r w:rsidRPr="00123AEC">
        <w:rPr>
          <w:rFonts w:asciiTheme="minorHAnsi" w:hAnsiTheme="minorHAnsi"/>
          <w:b/>
          <w:sz w:val="20"/>
          <w:highlight w:val="green"/>
        </w:rPr>
        <w:fldChar w:fldCharType="end"/>
      </w:r>
      <w:r w:rsidRPr="00123AEC">
        <w:rPr>
          <w:rFonts w:asciiTheme="minorHAnsi" w:hAnsiTheme="minorHAnsi"/>
          <w:b/>
          <w:sz w:val="20"/>
          <w:highlight w:val="green"/>
        </w:rPr>
        <w:t>: Pagina Dettaglio Provvedimenti con Data di Esecutività</w:t>
      </w:r>
      <w:bookmarkStart w:id="1" w:name="_GoBack"/>
      <w:bookmarkEnd w:id="1"/>
    </w:p>
    <w:p w:rsidR="00D86094" w:rsidRDefault="00D86094" w:rsidP="00E264DD">
      <w:pPr>
        <w:spacing w:line="360" w:lineRule="auto"/>
        <w:rPr>
          <w:rFonts w:asciiTheme="minorHAnsi" w:hAnsiTheme="minorHAnsi"/>
          <w:sz w:val="20"/>
        </w:rPr>
      </w:pPr>
    </w:p>
    <w:p w:rsidR="000A424E" w:rsidRPr="00E05EFE" w:rsidRDefault="000A424E" w:rsidP="00E264DD">
      <w:pPr>
        <w:spacing w:line="360" w:lineRule="auto"/>
        <w:rPr>
          <w:rFonts w:asciiTheme="minorHAnsi" w:hAnsiTheme="minorHAnsi"/>
          <w:strike/>
          <w:sz w:val="20"/>
          <w:highlight w:val="green"/>
        </w:rPr>
      </w:pPr>
      <w:r w:rsidRPr="00E05EFE">
        <w:rPr>
          <w:rFonts w:asciiTheme="minorHAnsi" w:hAnsiTheme="minorHAnsi"/>
          <w:strike/>
          <w:sz w:val="20"/>
          <w:highlight w:val="green"/>
        </w:rPr>
        <w:t>A seguito dell’emissione dell’ordinanza provvisoria e a partire dalla data in cui diviene esecutiva, si possono delineare diverse possibili gestioni operative, tra cui quelle che seguono:</w:t>
      </w:r>
    </w:p>
    <w:p w:rsidR="000A424E" w:rsidRPr="00E05EFE" w:rsidRDefault="000A424E" w:rsidP="00E264DD">
      <w:pPr>
        <w:pStyle w:val="Paragrafoelenco"/>
        <w:rPr>
          <w:strike/>
          <w:sz w:val="20"/>
          <w:highlight w:val="green"/>
        </w:rPr>
      </w:pPr>
      <w:r w:rsidRPr="00E05EFE">
        <w:rPr>
          <w:strike/>
          <w:sz w:val="20"/>
          <w:highlight w:val="green"/>
        </w:rPr>
        <w:t>Il Tribunale di Sorveglianza, conferma senza formalità la decisione del magistrato. (REQ-SIES-009-05)</w:t>
      </w:r>
    </w:p>
    <w:p w:rsidR="000A424E" w:rsidRPr="00E05EFE" w:rsidRDefault="000A424E" w:rsidP="00E264DD">
      <w:pPr>
        <w:pStyle w:val="Paragrafoelenco"/>
        <w:rPr>
          <w:strike/>
          <w:sz w:val="20"/>
          <w:highlight w:val="green"/>
        </w:rPr>
      </w:pPr>
      <w:r w:rsidRPr="00E05EFE">
        <w:rPr>
          <w:strike/>
          <w:sz w:val="20"/>
          <w:highlight w:val="green"/>
        </w:rPr>
        <w:t xml:space="preserve">Incorrere in una revoca dell’ammissione provvisoria, nel caso, ad esempio, di gravi violazioni delle prescrizioni nel corso dell’esecuzione provvisoria. </w:t>
      </w:r>
    </w:p>
    <w:p w:rsidR="000A424E" w:rsidRPr="00E05EFE" w:rsidRDefault="000A424E" w:rsidP="00E264DD">
      <w:pPr>
        <w:spacing w:line="360" w:lineRule="auto"/>
        <w:rPr>
          <w:rFonts w:asciiTheme="minorHAnsi" w:hAnsiTheme="minorHAnsi"/>
          <w:strike/>
          <w:sz w:val="20"/>
          <w:highlight w:val="green"/>
        </w:rPr>
      </w:pPr>
      <w:r w:rsidRPr="00E05EFE">
        <w:rPr>
          <w:rFonts w:asciiTheme="minorHAnsi" w:hAnsiTheme="minorHAnsi"/>
          <w:strike/>
          <w:sz w:val="20"/>
          <w:highlight w:val="green"/>
        </w:rPr>
        <w:t>In questa prima fase di implementazione, illustriamo il dettaglio del primo scenario, ossia la casistica di ‘Conferma’ da parte del Tribunale della decisione del magistrato designato.</w:t>
      </w:r>
    </w:p>
    <w:p w:rsidR="00B9637F" w:rsidRPr="00E05EFE" w:rsidRDefault="000A424E" w:rsidP="00E264DD">
      <w:pPr>
        <w:spacing w:line="360" w:lineRule="auto"/>
        <w:rPr>
          <w:strike/>
          <w:sz w:val="20"/>
        </w:rPr>
      </w:pPr>
      <w:r w:rsidRPr="00E05EFE">
        <w:rPr>
          <w:rFonts w:asciiTheme="minorHAnsi" w:hAnsiTheme="minorHAnsi"/>
          <w:strike/>
          <w:sz w:val="20"/>
          <w:highlight w:val="green"/>
        </w:rPr>
        <w:t>Lo scenario di cui al punto 2 è rinviato alla successiva fase di sviluppo (D.lgs. 123/2018 - FASE 2) cosi come specificato al par.</w:t>
      </w:r>
      <w:r w:rsidRPr="00E05EFE">
        <w:rPr>
          <w:rFonts w:asciiTheme="minorHAnsi" w:hAnsiTheme="minorHAnsi"/>
          <w:strike/>
          <w:sz w:val="20"/>
          <w:highlight w:val="green"/>
        </w:rPr>
        <w:fldChar w:fldCharType="begin"/>
      </w:r>
      <w:r w:rsidRPr="00E05EFE">
        <w:rPr>
          <w:rFonts w:asciiTheme="minorHAnsi" w:hAnsiTheme="minorHAnsi"/>
          <w:strike/>
          <w:sz w:val="20"/>
          <w:highlight w:val="green"/>
        </w:rPr>
        <w:instrText xml:space="preserve"> REF _Ref44454598 \r \h  \* MERGEFORMAT </w:instrText>
      </w:r>
      <w:r w:rsidRPr="00E05EFE">
        <w:rPr>
          <w:rFonts w:asciiTheme="minorHAnsi" w:hAnsiTheme="minorHAnsi"/>
          <w:strike/>
          <w:sz w:val="20"/>
          <w:highlight w:val="green"/>
        </w:rPr>
      </w:r>
      <w:r w:rsidRPr="00E05EFE">
        <w:rPr>
          <w:rFonts w:asciiTheme="minorHAnsi" w:hAnsiTheme="minorHAnsi"/>
          <w:strike/>
          <w:sz w:val="20"/>
          <w:highlight w:val="green"/>
        </w:rPr>
        <w:fldChar w:fldCharType="separate"/>
      </w:r>
      <w:r w:rsidRPr="00E05EFE">
        <w:rPr>
          <w:rFonts w:asciiTheme="minorHAnsi" w:hAnsiTheme="minorHAnsi"/>
          <w:strike/>
          <w:sz w:val="20"/>
          <w:highlight w:val="green"/>
        </w:rPr>
        <w:t>5.2</w:t>
      </w:r>
      <w:r w:rsidRPr="00E05EFE">
        <w:rPr>
          <w:rFonts w:asciiTheme="minorHAnsi" w:hAnsiTheme="minorHAnsi"/>
          <w:strike/>
          <w:sz w:val="20"/>
          <w:highlight w:val="green"/>
        </w:rPr>
        <w:fldChar w:fldCharType="end"/>
      </w:r>
      <w:r w:rsidRPr="00E05EFE">
        <w:rPr>
          <w:rFonts w:asciiTheme="minorHAnsi" w:hAnsiTheme="minorHAnsi"/>
          <w:strike/>
          <w:sz w:val="20"/>
          <w:highlight w:val="green"/>
        </w:rPr>
        <w:t>.</w:t>
      </w:r>
    </w:p>
    <w:sectPr w:rsidR="00B9637F" w:rsidRPr="00E05E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860445"/>
    <w:multiLevelType w:val="hybridMultilevel"/>
    <w:tmpl w:val="C11AA54A"/>
    <w:lvl w:ilvl="0" w:tplc="16C62E9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23415C"/>
    <w:multiLevelType w:val="multilevel"/>
    <w:tmpl w:val="4C04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5FAE6ED6"/>
    <w:multiLevelType w:val="hybridMultilevel"/>
    <w:tmpl w:val="1646E836"/>
    <w:lvl w:ilvl="0" w:tplc="16589256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8057FB"/>
    <w:multiLevelType w:val="multilevel"/>
    <w:tmpl w:val="1200E9A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2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24E"/>
    <w:rsid w:val="000369D6"/>
    <w:rsid w:val="00070BA6"/>
    <w:rsid w:val="000A424E"/>
    <w:rsid w:val="00123AEC"/>
    <w:rsid w:val="0017701C"/>
    <w:rsid w:val="001F5F3C"/>
    <w:rsid w:val="00255979"/>
    <w:rsid w:val="0033325D"/>
    <w:rsid w:val="00405001"/>
    <w:rsid w:val="004A51C9"/>
    <w:rsid w:val="005D588F"/>
    <w:rsid w:val="00600738"/>
    <w:rsid w:val="00631161"/>
    <w:rsid w:val="00750B71"/>
    <w:rsid w:val="007F0206"/>
    <w:rsid w:val="008C1E3C"/>
    <w:rsid w:val="009D3348"/>
    <w:rsid w:val="00A90C08"/>
    <w:rsid w:val="00A97935"/>
    <w:rsid w:val="00AD04CB"/>
    <w:rsid w:val="00AF1632"/>
    <w:rsid w:val="00BB7DAF"/>
    <w:rsid w:val="00C07819"/>
    <w:rsid w:val="00CC47E5"/>
    <w:rsid w:val="00D86094"/>
    <w:rsid w:val="00DF7B7F"/>
    <w:rsid w:val="00E05EFE"/>
    <w:rsid w:val="00E264DD"/>
    <w:rsid w:val="00E3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A424E"/>
    <w:pPr>
      <w:spacing w:after="0" w:line="240" w:lineRule="auto"/>
      <w:jc w:val="both"/>
    </w:pPr>
    <w:rPr>
      <w:rFonts w:ascii="Calibri" w:eastAsia="Times New Roman" w:hAnsi="Calibri" w:cs="Times New Roman"/>
      <w:szCs w:val="20"/>
      <w:lang w:eastAsia="it-IT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0A424E"/>
    <w:pPr>
      <w:keepNext/>
      <w:keepLines/>
      <w:numPr>
        <w:ilvl w:val="2"/>
        <w:numId w:val="1"/>
      </w:numPr>
      <w:tabs>
        <w:tab w:val="clear" w:pos="1418"/>
        <w:tab w:val="num" w:pos="1134"/>
      </w:tabs>
      <w:spacing w:before="240" w:after="240"/>
      <w:ind w:left="1134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qFormat/>
    <w:rsid w:val="000A424E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0A424E"/>
    <w:rPr>
      <w:rFonts w:ascii="Calibri" w:eastAsia="Times New Roman" w:hAnsi="Calibri" w:cs="Times New Roman"/>
      <w:b/>
      <w:sz w:val="24"/>
      <w:szCs w:val="20"/>
      <w:lang w:eastAsia="it-IT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0A424E"/>
    <w:rPr>
      <w:rFonts w:ascii="Calibri" w:eastAsia="Times New Roman" w:hAnsi="Calibri" w:cs="Times New Roman"/>
      <w:b/>
      <w:szCs w:val="20"/>
      <w:lang w:eastAsia="it-IT"/>
    </w:rPr>
  </w:style>
  <w:style w:type="paragraph" w:styleId="Paragrafoelenco">
    <w:name w:val="List Paragraph"/>
    <w:basedOn w:val="Normale"/>
    <w:autoRedefine/>
    <w:uiPriority w:val="34"/>
    <w:qFormat/>
    <w:rsid w:val="000A424E"/>
    <w:pPr>
      <w:numPr>
        <w:numId w:val="3"/>
      </w:numPr>
      <w:suppressLineNumbers/>
      <w:suppressAutoHyphens/>
      <w:spacing w:line="360" w:lineRule="auto"/>
    </w:pPr>
    <w:rPr>
      <w:rFonts w:asciiTheme="minorHAnsi" w:hAnsiTheme="minorHAnsi" w:cs="Calibri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3325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3325D"/>
    <w:rPr>
      <w:rFonts w:ascii="Tahoma" w:eastAsia="Times New Roman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A424E"/>
    <w:pPr>
      <w:spacing w:after="0" w:line="240" w:lineRule="auto"/>
      <w:jc w:val="both"/>
    </w:pPr>
    <w:rPr>
      <w:rFonts w:ascii="Calibri" w:eastAsia="Times New Roman" w:hAnsi="Calibri" w:cs="Times New Roman"/>
      <w:szCs w:val="20"/>
      <w:lang w:eastAsia="it-IT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0A424E"/>
    <w:pPr>
      <w:keepNext/>
      <w:keepLines/>
      <w:numPr>
        <w:ilvl w:val="2"/>
        <w:numId w:val="1"/>
      </w:numPr>
      <w:tabs>
        <w:tab w:val="clear" w:pos="1418"/>
        <w:tab w:val="num" w:pos="1134"/>
      </w:tabs>
      <w:spacing w:before="240" w:after="240"/>
      <w:ind w:left="1134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qFormat/>
    <w:rsid w:val="000A424E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0A424E"/>
    <w:rPr>
      <w:rFonts w:ascii="Calibri" w:eastAsia="Times New Roman" w:hAnsi="Calibri" w:cs="Times New Roman"/>
      <w:b/>
      <w:sz w:val="24"/>
      <w:szCs w:val="20"/>
      <w:lang w:eastAsia="it-IT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0A424E"/>
    <w:rPr>
      <w:rFonts w:ascii="Calibri" w:eastAsia="Times New Roman" w:hAnsi="Calibri" w:cs="Times New Roman"/>
      <w:b/>
      <w:szCs w:val="20"/>
      <w:lang w:eastAsia="it-IT"/>
    </w:rPr>
  </w:style>
  <w:style w:type="paragraph" w:styleId="Paragrafoelenco">
    <w:name w:val="List Paragraph"/>
    <w:basedOn w:val="Normale"/>
    <w:autoRedefine/>
    <w:uiPriority w:val="34"/>
    <w:qFormat/>
    <w:rsid w:val="000A424E"/>
    <w:pPr>
      <w:numPr>
        <w:numId w:val="3"/>
      </w:numPr>
      <w:suppressLineNumbers/>
      <w:suppressAutoHyphens/>
      <w:spacing w:line="360" w:lineRule="auto"/>
    </w:pPr>
    <w:rPr>
      <w:rFonts w:asciiTheme="minorHAnsi" w:hAnsiTheme="minorHAnsi" w:cs="Calibri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3325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3325D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2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Mignogna</dc:creator>
  <cp:keywords/>
  <dc:description/>
  <cp:lastModifiedBy>Simone Gioggi</cp:lastModifiedBy>
  <cp:revision>19</cp:revision>
  <dcterms:created xsi:type="dcterms:W3CDTF">2022-11-29T14:03:00Z</dcterms:created>
  <dcterms:modified xsi:type="dcterms:W3CDTF">2022-12-05T14:44:00Z</dcterms:modified>
</cp:coreProperties>
</file>