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042" w:rsidRPr="00262137" w:rsidRDefault="001851DF">
      <w:pPr>
        <w:rPr>
          <w:rFonts w:ascii="Times New Roman" w:hAnsi="Times New Roman" w:cs="Times New Roman"/>
          <w:b/>
          <w:u w:val="single"/>
          <w:lang w:val="it-IT"/>
        </w:rPr>
      </w:pPr>
      <w:r w:rsidRPr="00262137">
        <w:rPr>
          <w:rFonts w:ascii="Times New Roman" w:hAnsi="Times New Roman" w:cs="Times New Roman"/>
          <w:b/>
          <w:u w:val="single"/>
          <w:lang w:val="it-IT"/>
        </w:rPr>
        <w:t>Interventi su Modalità Pagamento</w:t>
      </w:r>
    </w:p>
    <w:p w:rsidR="001851DF" w:rsidRPr="001851DF" w:rsidRDefault="001851DF">
      <w:pPr>
        <w:rPr>
          <w:rFonts w:ascii="Times New Roman" w:hAnsi="Times New Roman" w:cs="Times New Roman"/>
          <w:lang w:val="it-IT"/>
        </w:rPr>
      </w:pPr>
      <w:r w:rsidRPr="001851DF">
        <w:rPr>
          <w:rFonts w:ascii="Times New Roman" w:hAnsi="Times New Roman" w:cs="Times New Roman"/>
          <w:lang w:val="it-IT"/>
        </w:rPr>
        <w:t>L’attuale funzione attivabile dal Dettaglio P</w:t>
      </w:r>
      <w:r>
        <w:rPr>
          <w:rFonts w:ascii="Times New Roman" w:hAnsi="Times New Roman" w:cs="Times New Roman"/>
          <w:lang w:val="it-IT"/>
        </w:rPr>
        <w:t>ena Complessiva</w:t>
      </w:r>
      <w:r w:rsidR="00F33079">
        <w:rPr>
          <w:rFonts w:ascii="Times New Roman" w:hAnsi="Times New Roman" w:cs="Times New Roman"/>
          <w:lang w:val="it-IT"/>
        </w:rPr>
        <w:t xml:space="preserve"> rimane inalterata, bisogna però permettere la gestione della stessa, anche su procedimento validato, per cui si aggiungerà nella tool bar del Dettaglio Procedimento, la voce</w:t>
      </w:r>
    </w:p>
    <w:p w:rsidR="0010367B" w:rsidRDefault="0010367B">
      <w:r>
        <w:rPr>
          <w:noProof/>
          <w:lang w:val="it-IT" w:eastAsia="it-IT"/>
        </w:rPr>
        <w:drawing>
          <wp:inline distT="0" distB="0" distL="0" distR="0" wp14:anchorId="42E317EB" wp14:editId="0B557206">
            <wp:extent cx="6120130" cy="167259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79" w:rsidRDefault="00F33079">
      <w:pPr>
        <w:rPr>
          <w:lang w:val="it-IT"/>
        </w:rPr>
      </w:pPr>
      <w:r w:rsidRPr="00F33079">
        <w:rPr>
          <w:lang w:val="it-IT"/>
        </w:rPr>
        <w:t>Selezionandola il Sistema richiamerà l’attuale D</w:t>
      </w:r>
      <w:r>
        <w:rPr>
          <w:lang w:val="it-IT"/>
        </w:rPr>
        <w:t>ettaglio Modalità pagamento p.p., che in caso di assenza di records RATEIZZAZIONE_PP, invierà la form di Inserimento (l’attuale)</w:t>
      </w:r>
    </w:p>
    <w:p w:rsidR="00F33079" w:rsidRDefault="00F33079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7662A3A0" wp14:editId="2BF1F7D0">
            <wp:extent cx="6120130" cy="2657475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53" w:rsidRDefault="00BB6C53">
      <w:pPr>
        <w:rPr>
          <w:lang w:val="it-IT"/>
        </w:rPr>
      </w:pPr>
      <w:r>
        <w:rPr>
          <w:lang w:val="it-IT"/>
        </w:rPr>
        <w:t>Con la differenza che il campo Importo da pagare sarà precompilato, solo se provengo da Dettaglio Pena Complessiva, negli altri casi sarà vuoto, ma obbligatorio da compilare.</w:t>
      </w:r>
    </w:p>
    <w:p w:rsidR="00BB6C53" w:rsidRDefault="00BB6C53">
      <w:pPr>
        <w:rPr>
          <w:lang w:val="it-IT"/>
        </w:rPr>
      </w:pPr>
      <w:r>
        <w:rPr>
          <w:lang w:val="it-IT"/>
        </w:rPr>
        <w:t>In caso di esistenza di precedenti Modalità di pagamento la form di Dettaglio potrebbe presentarsi come di seguito</w:t>
      </w:r>
    </w:p>
    <w:p w:rsidR="00BB6C53" w:rsidRDefault="00BB6C53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4EA00104" wp14:editId="7B75FA30">
            <wp:extent cx="6120130" cy="1517650"/>
            <wp:effectExtent l="0" t="0" r="0" b="635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53" w:rsidRPr="00F33079" w:rsidRDefault="00BB6C53">
      <w:pPr>
        <w:rPr>
          <w:lang w:val="it-IT"/>
        </w:rPr>
      </w:pPr>
      <w:r>
        <w:rPr>
          <w:lang w:val="it-IT"/>
        </w:rPr>
        <w:t>oppure</w:t>
      </w:r>
    </w:p>
    <w:p w:rsidR="0010367B" w:rsidRDefault="0010367B">
      <w:r>
        <w:rPr>
          <w:noProof/>
          <w:lang w:val="it-IT" w:eastAsia="it-IT"/>
        </w:rPr>
        <w:lastRenderedPageBreak/>
        <w:drawing>
          <wp:inline distT="0" distB="0" distL="0" distR="0" wp14:anchorId="097C3819" wp14:editId="6AD1BBA6">
            <wp:extent cx="6120130" cy="179451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53" w:rsidRDefault="00BB6C53">
      <w:pPr>
        <w:rPr>
          <w:lang w:val="it-IT"/>
        </w:rPr>
      </w:pPr>
      <w:r w:rsidRPr="00BB6C53">
        <w:rPr>
          <w:lang w:val="it-IT"/>
        </w:rPr>
        <w:t>In cui la funzione di I</w:t>
      </w:r>
      <w:r>
        <w:rPr>
          <w:lang w:val="it-IT"/>
        </w:rPr>
        <w:t xml:space="preserve">nserimento è attivabile solo se </w:t>
      </w:r>
      <w:r w:rsidR="003B6356">
        <w:rPr>
          <w:lang w:val="it-IT"/>
        </w:rPr>
        <w:t>al procedimento non vi sono RATEIZZAZIONE_PP, con provvedimento emesso (EVE_ID_EVENTO  valorizzato e con Evento validato o annullato)</w:t>
      </w:r>
      <w:r w:rsidR="004B51FD">
        <w:rPr>
          <w:lang w:val="it-IT"/>
        </w:rPr>
        <w:t xml:space="preserve"> </w:t>
      </w:r>
      <w:r w:rsidR="003B6356">
        <w:rPr>
          <w:lang w:val="it-IT"/>
        </w:rPr>
        <w:t>oppure prive di RATEIZZAZIONE_PP.</w:t>
      </w:r>
    </w:p>
    <w:p w:rsidR="003B6356" w:rsidRDefault="003B6356">
      <w:pPr>
        <w:rPr>
          <w:lang w:val="it-IT"/>
        </w:rPr>
      </w:pPr>
      <w:r>
        <w:rPr>
          <w:lang w:val="it-IT"/>
        </w:rPr>
        <w:t>Le funzioni di modifica e di cancellazione saranno attivabili sull’ultima modalità di pagamento dell’elenco, se la stessa risulta priva di provvedimento.</w:t>
      </w:r>
      <w:r w:rsidR="00F528C1">
        <w:rPr>
          <w:lang w:val="it-IT"/>
        </w:rPr>
        <w:t xml:space="preserve"> Es.</w:t>
      </w:r>
    </w:p>
    <w:p w:rsidR="00F528C1" w:rsidRDefault="00F528C1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>
            <wp:extent cx="6120130" cy="2280168"/>
            <wp:effectExtent l="0" t="0" r="0" b="0"/>
            <wp:docPr id="6" name="Immagine 6" descr="C:\Users\U.M\AppData\Local\Temp\SNAGHTML47006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.M\AppData\Local\Temp\SNAGHTML47006f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F82" w:rsidRDefault="00F528C1">
      <w:pPr>
        <w:rPr>
          <w:lang w:val="it-IT"/>
        </w:rPr>
      </w:pPr>
      <w:r>
        <w:rPr>
          <w:lang w:val="it-IT"/>
        </w:rPr>
        <w:t xml:space="preserve">Nella funzione di </w:t>
      </w:r>
      <w:r w:rsidRPr="0031243B">
        <w:rPr>
          <w:b/>
          <w:lang w:val="it-IT"/>
        </w:rPr>
        <w:t>rideterminazione pena</w:t>
      </w:r>
      <w:r>
        <w:rPr>
          <w:lang w:val="it-IT"/>
        </w:rPr>
        <w:t xml:space="preserve">, al momento della selezione, il sistema deve controllare </w:t>
      </w:r>
      <w:r w:rsidR="0031243B">
        <w:rPr>
          <w:lang w:val="it-IT"/>
        </w:rPr>
        <w:t>se</w:t>
      </w:r>
      <w:r w:rsidR="00290155">
        <w:rPr>
          <w:lang w:val="it-IT"/>
        </w:rPr>
        <w:t xml:space="preserve"> sia già presente un </w:t>
      </w:r>
      <w:r w:rsidR="0031243B">
        <w:rPr>
          <w:lang w:val="it-IT"/>
        </w:rPr>
        <w:t xml:space="preserve">Ordine di Ingiunzione </w:t>
      </w:r>
      <w:r w:rsidR="003803CD">
        <w:rPr>
          <w:lang w:val="it-IT"/>
        </w:rPr>
        <w:t xml:space="preserve"> (06- 0622 </w:t>
      </w:r>
      <w:r w:rsidR="00290155">
        <w:rPr>
          <w:lang w:val="it-IT"/>
        </w:rPr>
        <w:t xml:space="preserve"> validato</w:t>
      </w:r>
      <w:r w:rsidR="003803CD">
        <w:rPr>
          <w:lang w:val="it-IT"/>
        </w:rPr>
        <w:t>) recupera l’importo da pagare, calcola l’importo pagato e presenta la form di ins</w:t>
      </w:r>
      <w:r w:rsidR="00796F82">
        <w:rPr>
          <w:lang w:val="it-IT"/>
        </w:rPr>
        <w:t>erimento descritta in precedenza, in cui saranno visualizzati i suddetti importi, il campo Importo da Pagare non valorizzato e Tipo Rateizzazione bloccata su Unica soluzione</w:t>
      </w:r>
    </w:p>
    <w:p w:rsidR="00796F82" w:rsidRDefault="00796F82">
      <w:pPr>
        <w:rPr>
          <w:lang w:val="it-IT"/>
        </w:rPr>
      </w:pPr>
      <w:r>
        <w:rPr>
          <w:noProof/>
          <w:lang w:val="it-IT" w:eastAsia="it-IT"/>
        </w:rPr>
        <w:lastRenderedPageBreak/>
        <w:drawing>
          <wp:inline distT="0" distB="0" distL="0" distR="0" wp14:anchorId="1486355E" wp14:editId="1970E52F">
            <wp:extent cx="6120130" cy="305117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t-IT"/>
        </w:rPr>
        <w:t xml:space="preserve"> </w:t>
      </w:r>
    </w:p>
    <w:p w:rsidR="00CE18C9" w:rsidRDefault="00796F82">
      <w:pPr>
        <w:rPr>
          <w:lang w:val="it-IT"/>
        </w:rPr>
      </w:pPr>
      <w:r>
        <w:rPr>
          <w:lang w:val="it-IT"/>
        </w:rPr>
        <w:t>A seguito della Conferma il sistema invierà la form di Rideterminazione pena, realizzata da Simone</w:t>
      </w:r>
      <w:r w:rsidR="00CE18C9">
        <w:rPr>
          <w:lang w:val="it-IT"/>
        </w:rPr>
        <w:t>.</w:t>
      </w:r>
    </w:p>
    <w:p w:rsidR="00CE18C9" w:rsidRPr="004B51FD" w:rsidRDefault="00CE18C9">
      <w:pPr>
        <w:rPr>
          <w:highlight w:val="yellow"/>
          <w:lang w:val="it-IT"/>
        </w:rPr>
      </w:pPr>
      <w:bookmarkStart w:id="0" w:name="_GoBack"/>
      <w:r w:rsidRPr="004B51FD">
        <w:rPr>
          <w:highlight w:val="yellow"/>
          <w:lang w:val="it-IT"/>
        </w:rPr>
        <w:t>Segnalo che quando si seleziona</w:t>
      </w:r>
      <w:r w:rsidR="004B51FD" w:rsidRPr="004B51FD">
        <w:rPr>
          <w:highlight w:val="yellow"/>
          <w:lang w:val="it-IT"/>
        </w:rPr>
        <w:t xml:space="preserve"> </w:t>
      </w:r>
      <w:r w:rsidRPr="004B51FD">
        <w:rPr>
          <w:highlight w:val="yellow"/>
          <w:lang w:val="it-IT"/>
        </w:rPr>
        <w:t xml:space="preserve">la funzione Rideterminazione Pena, scatta il seguente controllo </w:t>
      </w:r>
    </w:p>
    <w:p w:rsidR="00CE18C9" w:rsidRPr="004B51FD" w:rsidRDefault="00CE18C9">
      <w:pPr>
        <w:rPr>
          <w:highlight w:val="yellow"/>
          <w:lang w:val="it-IT"/>
        </w:rPr>
      </w:pPr>
      <w:r w:rsidRPr="004B51FD">
        <w:rPr>
          <w:noProof/>
          <w:highlight w:val="yellow"/>
          <w:lang w:val="it-IT" w:eastAsia="it-IT"/>
        </w:rPr>
        <w:drawing>
          <wp:inline distT="0" distB="0" distL="0" distR="0" wp14:anchorId="08EC694A" wp14:editId="708FE564">
            <wp:extent cx="6120130" cy="1233170"/>
            <wp:effectExtent l="0" t="0" r="0" b="508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C9" w:rsidRPr="004B51FD" w:rsidRDefault="00CE18C9">
      <w:pPr>
        <w:rPr>
          <w:highlight w:val="yellow"/>
          <w:lang w:val="it-IT"/>
        </w:rPr>
      </w:pPr>
      <w:r w:rsidRPr="004B51FD">
        <w:rPr>
          <w:highlight w:val="yellow"/>
          <w:lang w:val="it-IT"/>
        </w:rPr>
        <w:t>che non permette di proseguire con la compilazione della form.</w:t>
      </w:r>
    </w:p>
    <w:p w:rsidR="00F528C1" w:rsidRPr="00BB6C53" w:rsidRDefault="00CE18C9">
      <w:pPr>
        <w:rPr>
          <w:lang w:val="it-IT"/>
        </w:rPr>
      </w:pPr>
      <w:r w:rsidRPr="004B51FD">
        <w:rPr>
          <w:highlight w:val="yellow"/>
          <w:lang w:val="it-IT"/>
        </w:rPr>
        <w:t>Il controllo</w:t>
      </w:r>
      <w:r w:rsidR="004B51FD" w:rsidRPr="004B51FD">
        <w:rPr>
          <w:highlight w:val="yellow"/>
          <w:lang w:val="it-IT"/>
        </w:rPr>
        <w:t xml:space="preserve"> (“</w:t>
      </w:r>
      <w:r w:rsidR="004B51FD" w:rsidRPr="004B51FD">
        <w:rPr>
          <w:i/>
          <w:color w:val="FF0000"/>
          <w:highlight w:val="yellow"/>
          <w:u w:val="single"/>
          <w:lang w:val="it-IT"/>
        </w:rPr>
        <w:t>è già stato emesso OI per tutte le rate previste</w:t>
      </w:r>
      <w:r w:rsidR="004B51FD" w:rsidRPr="004B51FD">
        <w:rPr>
          <w:highlight w:val="yellow"/>
          <w:lang w:val="it-IT"/>
        </w:rPr>
        <w:t>”)</w:t>
      </w:r>
      <w:r w:rsidRPr="004B51FD">
        <w:rPr>
          <w:highlight w:val="yellow"/>
          <w:lang w:val="it-IT"/>
        </w:rPr>
        <w:t xml:space="preserve"> dovrebbe scattare quando sull’ultima rateizzazione_pp, collegat</w:t>
      </w:r>
      <w:r w:rsidR="004B51FD" w:rsidRPr="004B51FD">
        <w:rPr>
          <w:highlight w:val="yellow"/>
          <w:lang w:val="it-IT"/>
        </w:rPr>
        <w:t>a</w:t>
      </w:r>
      <w:r w:rsidRPr="004B51FD">
        <w:rPr>
          <w:highlight w:val="yellow"/>
          <w:lang w:val="it-IT"/>
        </w:rPr>
        <w:t xml:space="preserve"> a</w:t>
      </w:r>
      <w:r w:rsidR="004B51FD" w:rsidRPr="004B51FD">
        <w:rPr>
          <w:highlight w:val="yellow"/>
          <w:lang w:val="it-IT"/>
        </w:rPr>
        <w:t>d</w:t>
      </w:r>
      <w:r w:rsidRPr="004B51FD">
        <w:rPr>
          <w:highlight w:val="yellow"/>
          <w:lang w:val="it-IT"/>
        </w:rPr>
        <w:t xml:space="preserve"> un ordine di ingiunzione validato, l’importo_pagato = importo da pagare</w:t>
      </w:r>
      <w:r w:rsidR="004B51FD" w:rsidRPr="004B51FD">
        <w:rPr>
          <w:highlight w:val="yellow"/>
          <w:lang w:val="it-IT"/>
        </w:rPr>
        <w:t xml:space="preserve"> (2023 / 20007)</w:t>
      </w:r>
      <w:r w:rsidRPr="004B51FD">
        <w:rPr>
          <w:highlight w:val="yellow"/>
          <w:lang w:val="it-IT"/>
        </w:rPr>
        <w:t>.</w:t>
      </w:r>
      <w:bookmarkEnd w:id="0"/>
    </w:p>
    <w:sectPr w:rsidR="00F528C1" w:rsidRPr="00BB6C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67B"/>
    <w:rsid w:val="0010367B"/>
    <w:rsid w:val="001851DF"/>
    <w:rsid w:val="00262137"/>
    <w:rsid w:val="00290155"/>
    <w:rsid w:val="0031243B"/>
    <w:rsid w:val="003803CD"/>
    <w:rsid w:val="003B6356"/>
    <w:rsid w:val="003D1899"/>
    <w:rsid w:val="004B51FD"/>
    <w:rsid w:val="005F5042"/>
    <w:rsid w:val="00796F82"/>
    <w:rsid w:val="007F18EB"/>
    <w:rsid w:val="00BB6C53"/>
    <w:rsid w:val="00CE18C9"/>
    <w:rsid w:val="00F33079"/>
    <w:rsid w:val="00F5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F1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F18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F1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F18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5</cp:revision>
  <dcterms:created xsi:type="dcterms:W3CDTF">2023-09-14T11:41:00Z</dcterms:created>
  <dcterms:modified xsi:type="dcterms:W3CDTF">2023-09-18T13:31:00Z</dcterms:modified>
</cp:coreProperties>
</file>