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F6573" w14:textId="7F7371A9" w:rsidR="008C1068" w:rsidRPr="00B040E2" w:rsidRDefault="008C1068" w:rsidP="00B040E2">
      <w:pPr>
        <w:keepNext/>
        <w:numPr>
          <w:ilvl w:val="1"/>
          <w:numId w:val="0"/>
        </w:numPr>
        <w:tabs>
          <w:tab w:val="left" w:pos="567"/>
          <w:tab w:val="num" w:pos="851"/>
        </w:tabs>
        <w:spacing w:after="0" w:line="240" w:lineRule="auto"/>
        <w:jc w:val="center"/>
        <w:outlineLvl w:val="1"/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lang w:val="it-IT" w:eastAsia="it-IT"/>
          <w14:ligatures w14:val="none"/>
        </w:rPr>
      </w:pPr>
      <w:bookmarkStart w:id="0" w:name="_Toc164864441"/>
      <w:r w:rsidRPr="009B39B0"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>3.10</w:t>
      </w:r>
      <w:r w:rsidRPr="009B39B0"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ab/>
        <w:t>Re</w:t>
      </w:r>
      <w:bookmarkStart w:id="1" w:name="_Hlk169880737"/>
      <w:r w:rsidRPr="009B39B0"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>clamo av</w:t>
      </w:r>
      <w:r w:rsidR="00B040E2" w:rsidRPr="009B39B0"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 xml:space="preserve">verso Revoca Pena Sostitutiva </w:t>
      </w:r>
      <w:r w:rsidRPr="009B39B0">
        <w:rPr>
          <w:rFonts w:ascii="Calibri" w:eastAsia="Times New Roman" w:hAnsi="Calibri" w:cs="Times New Roman"/>
          <w:b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>(per TDS)</w:t>
      </w:r>
      <w:bookmarkEnd w:id="0"/>
    </w:p>
    <w:p w14:paraId="4CA8599A" w14:textId="03BDD821" w:rsidR="008C1068" w:rsidRPr="00B040E2" w:rsidRDefault="008C1068" w:rsidP="00B040E2">
      <w:pPr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</w:pPr>
      <w:bookmarkStart w:id="2" w:name="_Hlk169880856"/>
      <w:bookmarkEnd w:id="1"/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L’ordinanza di revoca può essere impugnata dinanzi al </w:t>
      </w:r>
      <w:r w:rsidRPr="00B040E2">
        <w:rPr>
          <w:rFonts w:ascii="Calibri" w:eastAsia="Times New Roman" w:hAnsi="Calibri" w:cs="Times New Roman"/>
          <w:b/>
          <w:bCs/>
          <w:kern w:val="0"/>
          <w:sz w:val="24"/>
          <w:szCs w:val="24"/>
          <w:highlight w:val="green"/>
          <w:lang w:val="it-IT" w:eastAsia="it-IT"/>
          <w14:ligatures w14:val="none"/>
        </w:rPr>
        <w:t>TDS</w:t>
      </w: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. Di conseguenza occorre inserire lato TDS un nuovo contenuto/oggetto, denominato “Reclamo avverso Revoca Pene Sostitutive” </w:t>
      </w:r>
      <w:proofErr w:type="gramStart"/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ed</w:t>
      </w:r>
      <w:proofErr w:type="gramEnd"/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i cui esiti potrebbero essere: Accoglie reclamo; Accoglie reclamo e converte in altra pena sostitutiva; Rigetta; NLP; Inammissibilità; Incompetenza, utilizzando una maschera con alcuni dei dati particolari previsti in quella dell’UDS, vale a dire “Pena sostitutiva più grave” e “Rideterminazione quantum pena da espiare”</w:t>
      </w:r>
      <w:r w:rsidR="00B040E2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.</w:t>
      </w:r>
    </w:p>
    <w:p w14:paraId="71823A2A" w14:textId="77777777" w:rsidR="008C1068" w:rsidRPr="00B040E2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lang w:val="it-IT" w:eastAsia="it-IT"/>
          <w14:ligatures w14:val="none"/>
        </w:rPr>
      </w:pP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Nell’ambito dell’Ufficio di Sorveglianza (TDS/TDSM), il </w:t>
      </w:r>
      <w:r w:rsidRPr="00B040E2">
        <w:rPr>
          <w:rFonts w:ascii="Calibri" w:eastAsia="Times New Roman" w:hAnsi="Calibri" w:cs="Times New Roman"/>
          <w:b/>
          <w:kern w:val="0"/>
          <w:sz w:val="24"/>
          <w:szCs w:val="24"/>
          <w:highlight w:val="green"/>
          <w:lang w:val="it-IT" w:eastAsia="it-IT"/>
          <w14:ligatures w14:val="none"/>
        </w:rPr>
        <w:t>contenuto</w:t>
      </w: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da integrare è il seguente:</w:t>
      </w:r>
    </w:p>
    <w:p w14:paraId="2BFE5991" w14:textId="291A8EBB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Reclamo avverso Revoca Pena Sostitutiva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(C063)</w:t>
      </w:r>
    </w:p>
    <w:p w14:paraId="57BED056" w14:textId="55906E39" w:rsidR="008C1068" w:rsidRPr="00B040E2" w:rsidRDefault="00B040E2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Al nuovo contenuto va</w:t>
      </w:r>
      <w:r w:rsidR="008C1068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associat</w:t>
      </w: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o</w:t>
      </w:r>
      <w:r w:rsidR="008C1068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i</w:t>
      </w: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l</w:t>
      </w:r>
      <w:r w:rsidR="008C1068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seguent</w:t>
      </w:r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e</w:t>
      </w:r>
      <w:r w:rsidR="008C1068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</w:t>
      </w:r>
      <w:r w:rsidR="008C1068" w:rsidRPr="00B040E2">
        <w:rPr>
          <w:rFonts w:ascii="Calibri" w:eastAsia="Times New Roman" w:hAnsi="Calibri" w:cs="Times New Roman"/>
          <w:b/>
          <w:kern w:val="0"/>
          <w:sz w:val="24"/>
          <w:szCs w:val="24"/>
          <w:highlight w:val="green"/>
          <w:lang w:val="it-IT" w:eastAsia="it-IT"/>
          <w14:ligatures w14:val="none"/>
        </w:rPr>
        <w:t>oggett</w:t>
      </w:r>
      <w:r w:rsidRPr="00B040E2">
        <w:rPr>
          <w:rFonts w:ascii="Calibri" w:eastAsia="Times New Roman" w:hAnsi="Calibri" w:cs="Times New Roman"/>
          <w:b/>
          <w:kern w:val="0"/>
          <w:sz w:val="24"/>
          <w:szCs w:val="24"/>
          <w:highlight w:val="green"/>
          <w:lang w:val="it-IT" w:eastAsia="it-IT"/>
          <w14:ligatures w14:val="none"/>
        </w:rPr>
        <w:t>o</w:t>
      </w:r>
      <w:r w:rsidR="008C1068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: </w:t>
      </w:r>
    </w:p>
    <w:p w14:paraId="4E4B6A14" w14:textId="4735408B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Reclamo avverso Revoca Pena Sostitutiva</w:t>
      </w:r>
      <w:proofErr w:type="gramStart"/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  </w:t>
      </w:r>
      <w:proofErr w:type="gramEnd"/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</w:t>
      </w:r>
      <w:proofErr w:type="gramStart"/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9010</w:t>
      </w:r>
      <w:proofErr w:type="gramEnd"/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)</w:t>
      </w:r>
    </w:p>
    <w:p w14:paraId="3E315E41" w14:textId="3DDA063E" w:rsidR="008C1068" w:rsidRPr="00B040E2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b/>
          <w:kern w:val="0"/>
          <w:sz w:val="24"/>
          <w:szCs w:val="24"/>
          <w:highlight w:val="green"/>
          <w:lang w:val="it-IT" w:eastAsia="it-IT"/>
          <w14:ligatures w14:val="none"/>
        </w:rPr>
      </w:pPr>
      <w:proofErr w:type="gramStart"/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ed</w:t>
      </w:r>
      <w:proofErr w:type="gramEnd"/>
      <w:r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i seguenti </w:t>
      </w:r>
      <w:r w:rsidR="00B040E2" w:rsidRPr="00B040E2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sette </w:t>
      </w:r>
      <w:r w:rsidRPr="00B040E2">
        <w:rPr>
          <w:rFonts w:ascii="Calibri" w:eastAsia="Times New Roman" w:hAnsi="Calibri" w:cs="Times New Roman"/>
          <w:b/>
          <w:kern w:val="0"/>
          <w:sz w:val="24"/>
          <w:szCs w:val="24"/>
          <w:highlight w:val="green"/>
          <w:lang w:val="it-IT" w:eastAsia="it-IT"/>
          <w14:ligatures w14:val="none"/>
        </w:rPr>
        <w:t>esiti:</w:t>
      </w:r>
    </w:p>
    <w:p w14:paraId="06F9A70D" w14:textId="3E4B76F8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Accoglie reclamo  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(0269)</w:t>
      </w:r>
    </w:p>
    <w:p w14:paraId="328A637B" w14:textId="5556D4A4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Accoglie reclamo e converte in altra pena sostitutiva 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(0273)</w:t>
      </w:r>
    </w:p>
    <w:p w14:paraId="021743A6" w14:textId="49B8F560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Convoca 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(0186)</w:t>
      </w:r>
    </w:p>
    <w:p w14:paraId="518AE23D" w14:textId="43C43AE2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Rigetta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  <w:t>(0002)</w:t>
      </w:r>
    </w:p>
    <w:p w14:paraId="58161B13" w14:textId="50B11E6A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Dichiara N.D.P./ N.L.P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(0004)</w:t>
      </w:r>
    </w:p>
    <w:p w14:paraId="63197B5F" w14:textId="1187EDE9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Dichiara inammissibilità  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(0003)</w:t>
      </w:r>
    </w:p>
    <w:p w14:paraId="639ED2B0" w14:textId="1FA3A949" w:rsidR="008C1068" w:rsidRPr="00B040E2" w:rsidRDefault="008C1068" w:rsidP="00B040E2">
      <w:pPr>
        <w:pStyle w:val="Paragrafoelenco"/>
        <w:numPr>
          <w:ilvl w:val="0"/>
          <w:numId w:val="1"/>
        </w:numPr>
        <w:suppressLineNumbers/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 xml:space="preserve">Dichiara la propria incompetenza </w:t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  <w:t xml:space="preserve">  </w:t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="00B040E2"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ab/>
      </w:r>
      <w:r w:rsidRPr="00B040E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green"/>
          <w:lang w:val="it-IT" w:eastAsia="it-IT"/>
          <w14:ligatures w14:val="none"/>
        </w:rPr>
        <w:t>(0005)</w:t>
      </w:r>
    </w:p>
    <w:p w14:paraId="5F058858" w14:textId="37292B9A" w:rsidR="008C1068" w:rsidRPr="00612A46" w:rsidRDefault="008C1068" w:rsidP="00B040E2">
      <w:pPr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</w:pPr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Per la definizione del procedimento sarà realizzata </w:t>
      </w:r>
      <w:bookmarkStart w:id="3" w:name="_Hlk159489873"/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una nuova funzionalità, emissione dell’</w:t>
      </w:r>
      <w:r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ordinanza</w:t>
      </w:r>
      <w:r w:rsidRPr="00612A46">
        <w:rPr>
          <w:rFonts w:ascii="Calibri" w:eastAsia="Times New Roman" w:hAnsi="Calibri" w:cs="Times New Roman"/>
          <w:color w:val="003399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</w:t>
      </w:r>
      <w:r w:rsidRPr="00612A46">
        <w:rPr>
          <w:rFonts w:ascii="Calibri" w:eastAsia="Times New Roman" w:hAnsi="Calibri" w:cs="Times New Roman"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Reclamo avverso Revoca Pena Sostitutiva</w:t>
      </w:r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(</w:t>
      </w:r>
      <w:r w:rsidRPr="00612A46">
        <w:rPr>
          <w:rFonts w:ascii="Calibri" w:eastAsia="Times New Roman" w:hAnsi="Calibri" w:cs="Times New Roman"/>
          <w:b/>
          <w:bCs/>
          <w:kern w:val="0"/>
          <w:sz w:val="24"/>
          <w:szCs w:val="24"/>
          <w:highlight w:val="green"/>
          <w:lang w:val="it-IT" w:eastAsia="it-IT"/>
          <w14:ligatures w14:val="none"/>
        </w:rPr>
        <w:t>per TDS</w:t>
      </w:r>
      <w:r w:rsidR="009B39B0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): la nuova maschera d’</w:t>
      </w:r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inserimento sarà implementata </w:t>
      </w:r>
      <w:proofErr w:type="gramStart"/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sulla base di</w:t>
      </w:r>
      <w:proofErr w:type="gramEnd"/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quella abbozzata di seguito</w:t>
      </w:r>
      <w:bookmarkEnd w:id="3"/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(</w:t>
      </w:r>
      <w:r w:rsidR="009B39B0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b</w:t>
      </w:r>
      <w:r w:rsidR="005C50EE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isogna cre</w:t>
      </w:r>
      <w:r w:rsidR="009B39B0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are un nuovo </w:t>
      </w:r>
      <w:r w:rsidR="009B39B0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TIPO_ORDINANZA: RC</w:t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OGGETTO_PROCEDIMENTO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ab/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C063</w:t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S01</w:t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RC</w:t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Reclamo</w:t>
      </w:r>
      <w:r w:rsidR="00296FED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 xml:space="preserve"> </w:t>
      </w:r>
      <w:r w:rsidR="005C50EE" w:rsidRPr="00612A46">
        <w:rPr>
          <w:rFonts w:ascii="Calibri" w:eastAsia="Times New Roman" w:hAnsi="Calibri" w:cs="Times New Roman"/>
          <w:b/>
          <w:i/>
          <w:kern w:val="0"/>
          <w:sz w:val="24"/>
          <w:szCs w:val="24"/>
          <w:highlight w:val="green"/>
          <w:u w:val="single"/>
          <w:lang w:val="it-IT" w:eastAsia="it-IT"/>
          <w14:ligatures w14:val="none"/>
        </w:rPr>
        <w:t>avverso Revoca Pena Sostitutiva</w:t>
      </w:r>
      <w:r w:rsidR="00296FED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</w:t>
      </w:r>
      <w:r w:rsidR="002A1A5C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che s</w:t>
      </w:r>
      <w:r w:rsidR="005C50EE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i potrebbe adattare, duplicando quella realizzata per U131/U132</w:t>
      </w:r>
      <w:proofErr w:type="gramStart"/>
      <w:r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)</w:t>
      </w:r>
      <w:r w:rsidR="009B39B0" w:rsidRPr="00612A46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.</w:t>
      </w:r>
      <w:proofErr w:type="gramEnd"/>
    </w:p>
    <w:p w14:paraId="724C9313" w14:textId="56A8F5A7" w:rsidR="008C1068" w:rsidRPr="00B040E2" w:rsidRDefault="005C50EE" w:rsidP="00B040E2">
      <w:pPr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lang w:val="it-IT" w:eastAsia="it-IT"/>
          <w14:ligatures w14:val="none"/>
        </w:rPr>
      </w:pPr>
      <w:r w:rsidRPr="00D91A6A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Essendo un’ordinanza del TDS deve avere i controlli specifici, es. deve essere valorizzata la data udienza</w:t>
      </w:r>
      <w:r w:rsidR="009B39B0" w:rsidRPr="00D91A6A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:</w:t>
      </w:r>
    </w:p>
    <w:p w14:paraId="7EB32A72" w14:textId="77777777" w:rsidR="008C1068" w:rsidRPr="00B040E2" w:rsidRDefault="008C1068" w:rsidP="00B040E2">
      <w:pPr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lang w:val="it-IT" w:eastAsia="it-IT"/>
          <w14:ligatures w14:val="none"/>
        </w:rPr>
      </w:pPr>
      <w:r w:rsidRPr="00B040E2">
        <w:rPr>
          <w:rFonts w:ascii="Calibri" w:eastAsia="Times New Roman" w:hAnsi="Calibri" w:cs="Times New Roman"/>
          <w:noProof/>
          <w:kern w:val="0"/>
          <w:sz w:val="24"/>
          <w:szCs w:val="24"/>
          <w:lang w:val="it-IT" w:eastAsia="it-IT"/>
          <w14:ligatures w14:val="none"/>
        </w:rPr>
        <w:drawing>
          <wp:inline distT="0" distB="0" distL="0" distR="0" wp14:anchorId="71CA510E" wp14:editId="79948BD4">
            <wp:extent cx="6120765" cy="2680335"/>
            <wp:effectExtent l="0" t="0" r="0" b="5715"/>
            <wp:docPr id="1703943967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3967" name="Immagine 1" descr="Immagine che contiene testo, schermata, linea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6302" w14:textId="77777777" w:rsidR="008C1068" w:rsidRPr="00C70C7F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noProof/>
          <w:kern w:val="0"/>
          <w:sz w:val="24"/>
          <w:szCs w:val="24"/>
          <w:highlight w:val="green"/>
          <w:lang w:val="it-IT" w:eastAsia="en-GB"/>
          <w14:ligatures w14:val="none"/>
        </w:rPr>
      </w:pPr>
      <w:r w:rsidRPr="00C70C7F">
        <w:rPr>
          <w:rFonts w:ascii="Calibri" w:eastAsia="Times New Roman" w:hAnsi="Calibri" w:cs="Times New Roman"/>
          <w:noProof/>
          <w:kern w:val="0"/>
          <w:sz w:val="24"/>
          <w:szCs w:val="24"/>
          <w:highlight w:val="green"/>
          <w:lang w:val="it-IT" w:eastAsia="en-GB"/>
          <w14:ligatures w14:val="none"/>
        </w:rPr>
        <w:t>In cui nella combo box Pena Sostitutiva più grave il sistema presenterà le 3 pene sostitutive previste per il procedimento di esecuzione (vedi par. 3.2).</w:t>
      </w:r>
    </w:p>
    <w:p w14:paraId="0493067E" w14:textId="77777777" w:rsidR="008C1068" w:rsidRPr="00B040E2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noProof/>
          <w:kern w:val="0"/>
          <w:sz w:val="24"/>
          <w:szCs w:val="24"/>
          <w:highlight w:val="yellow"/>
          <w:lang w:val="it-IT" w:eastAsia="en-GB"/>
          <w14:ligatures w14:val="none"/>
        </w:rPr>
      </w:pPr>
    </w:p>
    <w:p w14:paraId="41A26A66" w14:textId="7FBF5578" w:rsidR="008C1068" w:rsidRPr="00A04700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noProof/>
          <w:kern w:val="0"/>
          <w:sz w:val="24"/>
          <w:szCs w:val="24"/>
          <w:highlight w:val="green"/>
          <w:lang w:val="it-IT" w:eastAsia="en-GB"/>
          <w14:ligatures w14:val="none"/>
        </w:rPr>
      </w:pPr>
      <w:r w:rsidRPr="00A04700">
        <w:rPr>
          <w:rFonts w:ascii="Calibri" w:eastAsia="Times New Roman" w:hAnsi="Calibri" w:cs="Times New Roman"/>
          <w:noProof/>
          <w:kern w:val="0"/>
          <w:sz w:val="24"/>
          <w:szCs w:val="24"/>
          <w:highlight w:val="green"/>
          <w:lang w:val="it-IT" w:eastAsia="en-GB"/>
          <w14:ligatures w14:val="none"/>
        </w:rPr>
        <w:t>A seguito della Conferma, il sistema inserirà la nuova ordinanza nella base dati e presenterà la form di Dettaglio, dalla quale sarà possibile attivare le azioni di Modifica, Cancellazione, Stampa o Upload e Validazione.</w:t>
      </w:r>
    </w:p>
    <w:p w14:paraId="17F655C0" w14:textId="5C881544" w:rsidR="00D77546" w:rsidRPr="00D77546" w:rsidRDefault="008C1068" w:rsidP="00B040E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Times New Roman" w:hAnsi="Calibri" w:cs="Times New Roman"/>
          <w:kern w:val="0"/>
          <w:sz w:val="24"/>
          <w:szCs w:val="24"/>
          <w:lang w:val="it-IT" w:eastAsia="it-IT"/>
          <w14:ligatures w14:val="none"/>
        </w:rPr>
      </w:pPr>
      <w:r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Saranno previsti </w:t>
      </w:r>
      <w:r w:rsidR="00D91A6A"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tre</w:t>
      </w:r>
      <w:r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modelli di stampa, che, quando generati, sono memorizzati in un campo BLOB della base dati: Ordinanza Generica, ordinanza di accoglimento reclamo, </w:t>
      </w:r>
      <w:proofErr w:type="gramStart"/>
      <w:r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ordinanza</w:t>
      </w:r>
      <w:proofErr w:type="gramEnd"/>
      <w:r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 xml:space="preserve"> di rigetto reclamo</w:t>
      </w:r>
      <w:bookmarkEnd w:id="2"/>
      <w:r w:rsidR="00B040E2" w:rsidRPr="00A04700">
        <w:rPr>
          <w:rFonts w:ascii="Calibri" w:eastAsia="Times New Roman" w:hAnsi="Calibri" w:cs="Times New Roman"/>
          <w:kern w:val="0"/>
          <w:sz w:val="24"/>
          <w:szCs w:val="24"/>
          <w:highlight w:val="green"/>
          <w:lang w:val="it-IT" w:eastAsia="it-IT"/>
          <w14:ligatures w14:val="none"/>
        </w:rPr>
        <w:t>.</w:t>
      </w:r>
      <w:bookmarkStart w:id="4" w:name="_GoBack"/>
      <w:bookmarkEnd w:id="4"/>
    </w:p>
    <w:sectPr w:rsidR="00D77546" w:rsidRPr="00D7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051A0"/>
    <w:multiLevelType w:val="hybridMultilevel"/>
    <w:tmpl w:val="E05A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068"/>
    <w:rsid w:val="00150602"/>
    <w:rsid w:val="00186BD2"/>
    <w:rsid w:val="00296FED"/>
    <w:rsid w:val="002A1A5C"/>
    <w:rsid w:val="005C50EE"/>
    <w:rsid w:val="00612A46"/>
    <w:rsid w:val="006B554B"/>
    <w:rsid w:val="00830FE6"/>
    <w:rsid w:val="008B7266"/>
    <w:rsid w:val="008C1068"/>
    <w:rsid w:val="009B39B0"/>
    <w:rsid w:val="009C6F1C"/>
    <w:rsid w:val="00A04700"/>
    <w:rsid w:val="00B040E2"/>
    <w:rsid w:val="00C70C7F"/>
    <w:rsid w:val="00CA33CB"/>
    <w:rsid w:val="00D47CDE"/>
    <w:rsid w:val="00D77546"/>
    <w:rsid w:val="00D91A6A"/>
    <w:rsid w:val="00FB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E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8C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8C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8C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8C106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106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10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10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10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10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10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10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106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106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1068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04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040E2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D775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8C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8C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8C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8C106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106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10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10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10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10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10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10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106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106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1068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04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040E2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D77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4892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13</cp:revision>
  <dcterms:created xsi:type="dcterms:W3CDTF">2024-06-28T13:11:00Z</dcterms:created>
  <dcterms:modified xsi:type="dcterms:W3CDTF">2024-07-23T10:09:00Z</dcterms:modified>
</cp:coreProperties>
</file>