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C4815" w:rsidRPr="00251CB8" w:rsidRDefault="00AC4815" w:rsidP="00AC4815">
      <w:bookmarkStart w:id="0" w:name="_GoBack"/>
      <w:r w:rsidRPr="00251CB8">
        <w:t>Analizzando il documento fornitoci in fase di richiesta di attivazione della MEV, e nello specifico il file 'SIES-SIUS-ModificheDecretoLegislativon.123.docx’, vorrei chiederti delucidazioni circa il seguente paragrafo:</w:t>
      </w:r>
    </w:p>
    <w:p w:rsidR="00AC4815" w:rsidRPr="00251CB8" w:rsidRDefault="00AC4815" w:rsidP="00AC4815">
      <w:pPr>
        <w:rPr>
          <w:i/>
        </w:rPr>
      </w:pPr>
      <w:r w:rsidRPr="00251CB8">
        <w:rPr>
          <w:i/>
        </w:rPr>
        <w:t>"</w:t>
      </w:r>
      <w:r w:rsidRPr="00251CB8">
        <w:rPr>
          <w:b/>
          <w:i/>
        </w:rPr>
        <w:t xml:space="preserve">L’utilizzo della nuova procedura scaturente dall’art. 678 comma 1 ter c.p.p. determina la necessità di modificare alcune maschere di creazione di atti istruttori (che ci si riserva di individuare). In dette maschere deve essere aggiunto un </w:t>
      </w:r>
      <w:proofErr w:type="spellStart"/>
      <w:r w:rsidRPr="00251CB8">
        <w:rPr>
          <w:b/>
          <w:i/>
        </w:rPr>
        <w:t>check</w:t>
      </w:r>
      <w:proofErr w:type="spellEnd"/>
      <w:r w:rsidRPr="00251CB8">
        <w:rPr>
          <w:b/>
          <w:i/>
        </w:rPr>
        <w:t xml:space="preserve"> box che deve essere selezionato nel caso in cui nel documento istruttorio debba essere riportata in calce la dicitura “la risposta dovrà pervenire entro il … con a fianco un campo per indicare la data, piuttosto che l’attuale dicitura “urgente … per l’udienza del </w:t>
      </w:r>
      <w:proofErr w:type="spellStart"/>
      <w:r w:rsidRPr="00251CB8">
        <w:rPr>
          <w:b/>
          <w:i/>
        </w:rPr>
        <w:t>xxxxxx</w:t>
      </w:r>
      <w:proofErr w:type="spellEnd"/>
      <w:r w:rsidRPr="00251CB8">
        <w:rPr>
          <w:b/>
          <w:i/>
        </w:rPr>
        <w:t>”. Peraltro deve essere data la possibilità di estrarre il numero di procedimenti che hanno una determinata scadenza</w:t>
      </w:r>
      <w:r w:rsidRPr="00251CB8">
        <w:rPr>
          <w:i/>
        </w:rPr>
        <w:t>".</w:t>
      </w:r>
    </w:p>
    <w:p w:rsidR="00AC4815" w:rsidRPr="00251CB8" w:rsidRDefault="00AC4815" w:rsidP="00AC4815">
      <w:pPr>
        <w:pStyle w:val="Paragrafoelenco"/>
        <w:numPr>
          <w:ilvl w:val="0"/>
          <w:numId w:val="4"/>
        </w:numPr>
      </w:pPr>
      <w:r w:rsidRPr="00251CB8">
        <w:t>E' possibile avere qualche dettaglio maggiore circa questo intervento richiesto per la creazione degli atti istruttori?</w:t>
      </w:r>
    </w:p>
    <w:p w:rsidR="00AC4815" w:rsidRPr="00251CB8" w:rsidRDefault="00AC4815" w:rsidP="00AC4815">
      <w:pPr>
        <w:pStyle w:val="Paragrafoelenco"/>
        <w:numPr>
          <w:ilvl w:val="0"/>
          <w:numId w:val="4"/>
        </w:numPr>
      </w:pPr>
      <w:r w:rsidRPr="00251CB8">
        <w:t xml:space="preserve">L’ultima frase, ossia </w:t>
      </w:r>
      <w:r w:rsidRPr="00251CB8">
        <w:rPr>
          <w:b/>
          <w:i/>
        </w:rPr>
        <w:t>“peraltro deve essere data la possibilità di estrarre il numero di procedimenti che hanno una determinata scadenza”,</w:t>
      </w:r>
      <w:r w:rsidRPr="00251CB8">
        <w:t xml:space="preserve"> si riferisce alla creazione di una nuova statistica? Di che tipologia?</w:t>
      </w:r>
    </w:p>
    <w:p w:rsidR="00955D63" w:rsidRPr="00251CB8" w:rsidRDefault="00955D63" w:rsidP="00AC4815"/>
    <w:p w:rsidR="00AC4815" w:rsidRPr="00251CB8" w:rsidRDefault="00AC4815" w:rsidP="00AC4815">
      <w:r w:rsidRPr="00251CB8">
        <w:t xml:space="preserve">Inoltre, vorrei sottoporti i seguenti dubbi </w:t>
      </w:r>
      <w:r w:rsidR="00955D63" w:rsidRPr="00251CB8">
        <w:t xml:space="preserve">sollevati dalla </w:t>
      </w:r>
      <w:r w:rsidRPr="00251CB8">
        <w:t>nostra referente esperta giuridica</w:t>
      </w:r>
      <w:r w:rsidR="00955D63" w:rsidRPr="00251CB8">
        <w:t>.</w:t>
      </w:r>
      <w:r w:rsidRPr="00251CB8">
        <w:t xml:space="preserve"> Li elenco a seguire:</w:t>
      </w:r>
    </w:p>
    <w:p w:rsidR="00AC4815" w:rsidRPr="00251CB8" w:rsidRDefault="00AC4815" w:rsidP="00AC4815"/>
    <w:p w:rsidR="00AC4815" w:rsidRPr="00251CB8" w:rsidRDefault="00AC4815" w:rsidP="00EC3067">
      <w:pPr>
        <w:pStyle w:val="Paragrafoelenco"/>
        <w:numPr>
          <w:ilvl w:val="0"/>
          <w:numId w:val="5"/>
        </w:numPr>
        <w:ind w:left="284" w:hanging="426"/>
      </w:pPr>
      <w:r w:rsidRPr="00251CB8">
        <w:t>Ha senso inserire l'oggetto “</w:t>
      </w:r>
      <w:r w:rsidRPr="00251CB8">
        <w:rPr>
          <w:b/>
        </w:rPr>
        <w:t>Detenzione domiciliare per recidivi (art. 47 ter comma 1.1 O.P. - art. 678 comma 1-ter c.p.p.)</w:t>
      </w:r>
      <w:r w:rsidRPr="00251CB8">
        <w:t xml:space="preserve">” per il nuovo </w:t>
      </w:r>
      <w:r w:rsidR="00EC3067" w:rsidRPr="00251CB8">
        <w:t>contenuto da</w:t>
      </w:r>
      <w:r w:rsidRPr="00251CB8">
        <w:t xml:space="preserve"> creare “</w:t>
      </w:r>
      <w:r w:rsidRPr="00251CB8">
        <w:rPr>
          <w:b/>
        </w:rPr>
        <w:t>Concessione misure alternative (art. 678 comma 1-ter c.p.p.)”?</w:t>
      </w:r>
    </w:p>
    <w:p w:rsidR="00AC4815" w:rsidRPr="00251CB8" w:rsidRDefault="00AC4815" w:rsidP="00AC4815">
      <w:pPr>
        <w:pStyle w:val="Paragrafoelenco"/>
      </w:pPr>
    </w:p>
    <w:p w:rsidR="00AC4815" w:rsidRPr="00251CB8" w:rsidRDefault="00AC4815" w:rsidP="00AC4815">
      <w:r w:rsidRPr="00251CB8">
        <w:t>E’ stato soppresso dall’art. 2 comma 1, lettera b n.1 del D.L.1/7/2013 n.78, convertito con modificazioni nella legge 09/08/2013 n.94</w:t>
      </w:r>
      <w:r w:rsidR="00EC3067" w:rsidRPr="00251CB8">
        <w:t>.</w:t>
      </w:r>
    </w:p>
    <w:p w:rsidR="00EC3067" w:rsidRPr="00251CB8" w:rsidRDefault="00EC3067" w:rsidP="00EC3067">
      <w:r w:rsidRPr="00251CB8">
        <w:t>Si riporta l’art. 2 Comma 1 lettera B del suddetto decreto legge:</w:t>
      </w:r>
    </w:p>
    <w:p w:rsidR="00EC3067" w:rsidRPr="00251CB8" w:rsidRDefault="00EC3067" w:rsidP="00EC3067">
      <w:r w:rsidRPr="00251CB8">
        <w:t xml:space="preserve">All’articolo 47-ter, sono apportate le seguenti modificazioni: </w:t>
      </w:r>
    </w:p>
    <w:p w:rsidR="00EC3067" w:rsidRPr="00251CB8" w:rsidRDefault="00EC3067" w:rsidP="00EC3067">
      <w:pPr>
        <w:spacing w:line="240" w:lineRule="auto"/>
      </w:pPr>
      <w:r w:rsidRPr="00251CB8">
        <w:t xml:space="preserve">      1) il comma 1.1 </w:t>
      </w:r>
      <w:proofErr w:type="spellStart"/>
      <w:r w:rsidRPr="00251CB8">
        <w:t>e'</w:t>
      </w:r>
      <w:proofErr w:type="spellEnd"/>
      <w:r w:rsidRPr="00251CB8">
        <w:t xml:space="preserve"> soppresso; </w:t>
      </w:r>
    </w:p>
    <w:p w:rsidR="00EC3067" w:rsidRPr="00251CB8" w:rsidRDefault="00EC3067" w:rsidP="00EC3067">
      <w:pPr>
        <w:spacing w:line="240" w:lineRule="auto"/>
      </w:pPr>
      <w:r w:rsidRPr="00251CB8">
        <w:t xml:space="preserve">      2) al comma 1-bis, nel secondo periodo, le parole: "e a quelli cui sia stata applicata la recidiva prevista dall'articolo 99, quarto comma, del codice penale" sono soppresse; </w:t>
      </w:r>
    </w:p>
    <w:p w:rsidR="00AC4815" w:rsidRPr="00251CB8" w:rsidRDefault="00AC4815" w:rsidP="00AC4815"/>
    <w:p w:rsidR="00AC4815" w:rsidRPr="00251CB8" w:rsidRDefault="00EC3067" w:rsidP="00EC3067">
      <w:pPr>
        <w:pStyle w:val="Paragrafoelenco"/>
        <w:numPr>
          <w:ilvl w:val="0"/>
          <w:numId w:val="5"/>
        </w:numPr>
        <w:ind w:left="284" w:hanging="426"/>
      </w:pPr>
      <w:r w:rsidRPr="00251CB8">
        <w:t>I</w:t>
      </w:r>
      <w:r w:rsidR="00AC4815" w:rsidRPr="00251CB8">
        <w:t xml:space="preserve">n merito agli </w:t>
      </w:r>
      <w:r w:rsidR="00AC4815" w:rsidRPr="00251CB8">
        <w:rPr>
          <w:b/>
        </w:rPr>
        <w:t>esiti</w:t>
      </w:r>
      <w:r w:rsidR="00AC4815" w:rsidRPr="00251CB8">
        <w:t xml:space="preserve"> da prevedere per l'</w:t>
      </w:r>
      <w:r w:rsidR="00AC4815" w:rsidRPr="00251CB8">
        <w:rPr>
          <w:b/>
        </w:rPr>
        <w:t xml:space="preserve">Ordinanza di Ammissione Provvisoria </w:t>
      </w:r>
      <w:r w:rsidR="00AC4815" w:rsidRPr="00251CB8">
        <w:t>ha senso metterli tutti?</w:t>
      </w:r>
    </w:p>
    <w:p w:rsidR="00AC4815" w:rsidRPr="00251CB8" w:rsidRDefault="00EC3067" w:rsidP="00EC3067">
      <w:pPr>
        <w:ind w:left="360"/>
      </w:pPr>
      <w:r w:rsidRPr="00251CB8">
        <w:t xml:space="preserve">Ossia: </w:t>
      </w:r>
      <w:r w:rsidR="00AC4815" w:rsidRPr="00251CB8">
        <w:t xml:space="preserve">“Concede”, “Rigetta”, “NLP”, “Inammissibilità” e “Incompetenza” ed in aggiunta quello </w:t>
      </w:r>
      <w:r w:rsidR="00D90FFD" w:rsidRPr="00251CB8">
        <w:t>denominato “</w:t>
      </w:r>
      <w:r w:rsidR="00AC4815" w:rsidRPr="00251CB8">
        <w:t>Applica Provvisoriamente”?</w:t>
      </w:r>
    </w:p>
    <w:p w:rsidR="00AC4815" w:rsidRPr="00251CB8" w:rsidRDefault="00AC4815" w:rsidP="00AC4815">
      <w:r w:rsidRPr="00251CB8">
        <w:t xml:space="preserve">Oppure </w:t>
      </w:r>
      <w:r w:rsidR="00EC3067" w:rsidRPr="00251CB8">
        <w:t>è naturale prevedere</w:t>
      </w:r>
      <w:r w:rsidRPr="00251CB8">
        <w:t xml:space="preserve"> solo "Applica Provvisoriamente"?</w:t>
      </w:r>
    </w:p>
    <w:p w:rsidR="00EC3067" w:rsidRPr="00251CB8" w:rsidRDefault="00EC3067" w:rsidP="00AC4815">
      <w:pPr>
        <w:rPr>
          <w:rFonts w:cs="Calibri"/>
          <w:b/>
          <w:bCs/>
          <w:color w:val="000000"/>
          <w:bdr w:val="none" w:sz="0" w:space="0" w:color="auto" w:frame="1"/>
          <w:shd w:val="clear" w:color="auto" w:fill="FFFFFF"/>
        </w:rPr>
      </w:pPr>
      <w:r w:rsidRPr="00251CB8">
        <w:rPr>
          <w:rFonts w:cs="Calibri"/>
          <w:b/>
          <w:bCs/>
          <w:color w:val="000000"/>
          <w:bdr w:val="none" w:sz="0" w:space="0" w:color="auto" w:frame="1"/>
          <w:shd w:val="clear" w:color="auto" w:fill="FFFFFF"/>
        </w:rPr>
        <w:t>Motivazione:</w:t>
      </w:r>
    </w:p>
    <w:p w:rsidR="00D90FFD" w:rsidRPr="00251CB8" w:rsidRDefault="00EC3067" w:rsidP="00D90FFD">
      <w:pPr>
        <w:pStyle w:val="Paragrafoelenco"/>
        <w:numPr>
          <w:ilvl w:val="0"/>
          <w:numId w:val="6"/>
        </w:numPr>
        <w:spacing w:after="200" w:line="276" w:lineRule="auto"/>
        <w:jc w:val="both"/>
        <w:rPr>
          <w:rFonts w:cs="Calibri"/>
          <w:color w:val="000000"/>
          <w:shd w:val="clear" w:color="auto" w:fill="FFFFFF"/>
        </w:rPr>
      </w:pPr>
      <w:r w:rsidRPr="00251CB8">
        <w:rPr>
          <w:rFonts w:cs="Calibri"/>
          <w:color w:val="000000"/>
          <w:shd w:val="clear" w:color="auto" w:fill="FFFFFF"/>
        </w:rPr>
        <w:t xml:space="preserve">Il Presidente del tribunale di sorveglianza effettua il vaglio di </w:t>
      </w:r>
      <w:r w:rsidRPr="00251CB8">
        <w:rPr>
          <w:rFonts w:cs="Calibri"/>
          <w:b/>
          <w:color w:val="000000"/>
          <w:shd w:val="clear" w:color="auto" w:fill="FFFFFF"/>
        </w:rPr>
        <w:t>ammissibilità</w:t>
      </w:r>
      <w:r w:rsidRPr="00251CB8">
        <w:rPr>
          <w:rFonts w:cs="Calibri"/>
          <w:color w:val="000000"/>
          <w:shd w:val="clear" w:color="auto" w:fill="FFFFFF"/>
        </w:rPr>
        <w:t xml:space="preserve"> dell’istanza (art. 666 comma 2 c.p.p.) e procede alla c.d. istruttoria </w:t>
      </w:r>
      <w:proofErr w:type="spellStart"/>
      <w:r w:rsidRPr="00251CB8">
        <w:rPr>
          <w:rFonts w:cs="Calibri"/>
          <w:color w:val="000000"/>
          <w:shd w:val="clear" w:color="auto" w:fill="FFFFFF"/>
        </w:rPr>
        <w:t>pre</w:t>
      </w:r>
      <w:proofErr w:type="spellEnd"/>
      <w:r w:rsidRPr="00251CB8">
        <w:rPr>
          <w:rFonts w:cs="Calibri"/>
          <w:color w:val="000000"/>
          <w:shd w:val="clear" w:color="auto" w:fill="FFFFFF"/>
        </w:rPr>
        <w:t>-camerale, acquisendo «i documenti e le necessarie informazioni», che comprendono, i risultati dell’osservazione scientifica della personalità compiuta dall’</w:t>
      </w:r>
      <w:proofErr w:type="spellStart"/>
      <w:r w:rsidRPr="00251CB8">
        <w:rPr>
          <w:rFonts w:cs="Calibri"/>
          <w:color w:val="000000"/>
          <w:shd w:val="clear" w:color="auto" w:fill="FFFFFF"/>
        </w:rPr>
        <w:t>u.e.p.e</w:t>
      </w:r>
      <w:proofErr w:type="spellEnd"/>
      <w:r w:rsidRPr="00251CB8">
        <w:rPr>
          <w:rFonts w:cs="Calibri"/>
          <w:color w:val="000000"/>
          <w:shd w:val="clear" w:color="auto" w:fill="FFFFFF"/>
        </w:rPr>
        <w:t>. </w:t>
      </w:r>
      <w:r w:rsidR="00D90FFD" w:rsidRPr="00251CB8">
        <w:rPr>
          <w:rFonts w:cs="Calibri"/>
          <w:color w:val="000000"/>
          <w:shd w:val="clear" w:color="auto" w:fill="FFFFFF"/>
        </w:rPr>
        <w:t xml:space="preserve"> </w:t>
      </w:r>
    </w:p>
    <w:p w:rsidR="00EC3067" w:rsidRPr="00251CB8" w:rsidRDefault="00D90FFD" w:rsidP="00D90FFD">
      <w:pPr>
        <w:spacing w:after="200" w:line="276" w:lineRule="auto"/>
        <w:ind w:left="708"/>
        <w:jc w:val="both"/>
        <w:rPr>
          <w:rFonts w:cs="Calibri"/>
          <w:color w:val="000000"/>
          <w:shd w:val="clear" w:color="auto" w:fill="FFFFFF"/>
        </w:rPr>
      </w:pPr>
      <w:r w:rsidRPr="00251CB8">
        <w:rPr>
          <w:rFonts w:cs="Calibri"/>
          <w:color w:val="000000"/>
          <w:shd w:val="clear" w:color="auto" w:fill="FFFFFF"/>
        </w:rPr>
        <w:lastRenderedPageBreak/>
        <w:t>(</w:t>
      </w:r>
      <w:proofErr w:type="gramStart"/>
      <w:r w:rsidRPr="00251CB8">
        <w:rPr>
          <w:rFonts w:cs="Calibri"/>
          <w:color w:val="000000"/>
          <w:shd w:val="clear" w:color="auto" w:fill="FFFFFF"/>
        </w:rPr>
        <w:t>quindi</w:t>
      </w:r>
      <w:proofErr w:type="gramEnd"/>
      <w:r w:rsidRPr="00251CB8">
        <w:rPr>
          <w:rFonts w:cs="Calibri"/>
          <w:color w:val="000000"/>
          <w:shd w:val="clear" w:color="auto" w:fill="FFFFFF"/>
        </w:rPr>
        <w:t xml:space="preserve"> in una fase precedente alla designazione del  magistrato e quindi all’ordinanza di applicazione?)</w:t>
      </w:r>
    </w:p>
    <w:p w:rsidR="00EC3067" w:rsidRPr="00251CB8" w:rsidRDefault="00EC3067" w:rsidP="00D90FFD">
      <w:pPr>
        <w:pStyle w:val="Paragrafoelenco"/>
        <w:numPr>
          <w:ilvl w:val="0"/>
          <w:numId w:val="6"/>
        </w:numPr>
        <w:spacing w:after="200" w:line="276" w:lineRule="auto"/>
        <w:jc w:val="both"/>
        <w:rPr>
          <w:rFonts w:cs="Calibri"/>
          <w:color w:val="000000"/>
          <w:shd w:val="clear" w:color="auto" w:fill="FFFFFF"/>
        </w:rPr>
      </w:pPr>
      <w:proofErr w:type="spellStart"/>
      <w:proofErr w:type="gramStart"/>
      <w:r w:rsidRPr="00251CB8">
        <w:rPr>
          <w:rFonts w:cs="Calibri"/>
          <w:color w:val="000000"/>
          <w:shd w:val="clear" w:color="auto" w:fill="FFFFFF"/>
        </w:rPr>
        <w:t>ll</w:t>
      </w:r>
      <w:proofErr w:type="spellEnd"/>
      <w:proofErr w:type="gramEnd"/>
      <w:r w:rsidRPr="00251CB8">
        <w:rPr>
          <w:rFonts w:cs="Calibri"/>
          <w:color w:val="000000"/>
          <w:shd w:val="clear" w:color="auto" w:fill="FFFFFF"/>
        </w:rPr>
        <w:t xml:space="preserve"> magistrato di sorveglianza, qualora ritenga di non poter applicare alcuna misura, non sia tenuto ad emettere un’ordinanza di contenuto negativo ma debba – eventualmente lasciando decorrere il termine assegnatogli – soltanto provvedere alla restituzione degli atti al presidente.</w:t>
      </w:r>
    </w:p>
    <w:p w:rsidR="00AC4815" w:rsidRPr="00251CB8" w:rsidRDefault="00AC4815" w:rsidP="00D90FFD">
      <w:pPr>
        <w:pStyle w:val="Paragrafoelenco"/>
        <w:ind w:left="284"/>
      </w:pPr>
    </w:p>
    <w:p w:rsidR="009F68D2" w:rsidRPr="00251CB8" w:rsidRDefault="009F68D2" w:rsidP="00D90FFD">
      <w:pPr>
        <w:pStyle w:val="Paragrafoelenco"/>
        <w:numPr>
          <w:ilvl w:val="0"/>
          <w:numId w:val="5"/>
        </w:numPr>
        <w:ind w:left="284" w:hanging="426"/>
        <w:rPr>
          <w:rFonts w:cs="Calibri"/>
          <w:color w:val="000000"/>
          <w:shd w:val="clear" w:color="auto" w:fill="FFFFFF"/>
        </w:rPr>
      </w:pPr>
      <w:r w:rsidRPr="00251CB8">
        <w:t>Ha senso inserire l'oggetto “</w:t>
      </w:r>
      <w:r w:rsidRPr="00251CB8">
        <w:rPr>
          <w:b/>
        </w:rPr>
        <w:t>Revoca ammissione provvisoria Detenzione domiciliare per</w:t>
      </w:r>
      <w:r w:rsidRPr="00251CB8">
        <w:rPr>
          <w:rFonts w:cs="Calibri"/>
          <w:b/>
          <w:color w:val="000000"/>
          <w:shd w:val="clear" w:color="auto" w:fill="FFFFFF"/>
        </w:rPr>
        <w:t xml:space="preserve"> recidivi (art. 47 ter comma 1.1 O.P. - art. 678 comma 1-ter c.p.p.)</w:t>
      </w:r>
      <w:r w:rsidRPr="00251CB8">
        <w:rPr>
          <w:rFonts w:cs="Calibri"/>
          <w:color w:val="000000"/>
          <w:shd w:val="clear" w:color="auto" w:fill="FFFFFF"/>
        </w:rPr>
        <w:t>” per il nuovo contenuto da creare “</w:t>
      </w:r>
      <w:r w:rsidRPr="00251CB8">
        <w:rPr>
          <w:rFonts w:cs="Calibri"/>
          <w:b/>
          <w:color w:val="000000"/>
          <w:shd w:val="clear" w:color="auto" w:fill="FFFFFF"/>
        </w:rPr>
        <w:t>Revoca misura alternativa – Art. 678 comma 1 ter c.p.p.</w:t>
      </w:r>
      <w:r w:rsidRPr="00251CB8">
        <w:rPr>
          <w:rFonts w:cs="Calibri"/>
          <w:color w:val="000000"/>
          <w:shd w:val="clear" w:color="auto" w:fill="FFFFFF"/>
        </w:rPr>
        <w:t>”?</w:t>
      </w:r>
    </w:p>
    <w:p w:rsidR="009F68D2" w:rsidRPr="00251CB8" w:rsidRDefault="009F68D2" w:rsidP="009F68D2">
      <w:pPr>
        <w:pStyle w:val="Paragrafoelenco"/>
        <w:ind w:left="284"/>
        <w:rPr>
          <w:b/>
        </w:rPr>
      </w:pPr>
    </w:p>
    <w:p w:rsidR="009F68D2" w:rsidRPr="00251CB8" w:rsidRDefault="009F68D2" w:rsidP="009F68D2">
      <w:pPr>
        <w:pStyle w:val="Paragrafoelenco"/>
        <w:ind w:left="284"/>
      </w:pPr>
      <w:r w:rsidRPr="00251CB8">
        <w:rPr>
          <w:b/>
        </w:rPr>
        <w:t xml:space="preserve">Motivazione: </w:t>
      </w:r>
      <w:r w:rsidRPr="00251CB8">
        <w:t>è stato abolito.</w:t>
      </w:r>
    </w:p>
    <w:p w:rsidR="000571AD" w:rsidRPr="00251CB8" w:rsidRDefault="000571AD" w:rsidP="009F68D2">
      <w:pPr>
        <w:pStyle w:val="Paragrafoelenco"/>
        <w:ind w:left="284"/>
      </w:pPr>
    </w:p>
    <w:p w:rsidR="000571AD" w:rsidRPr="00251CB8" w:rsidRDefault="000571AD" w:rsidP="00D90FFD">
      <w:pPr>
        <w:pStyle w:val="Paragrafoelenco"/>
        <w:spacing w:after="200" w:line="276" w:lineRule="auto"/>
        <w:jc w:val="both"/>
      </w:pPr>
    </w:p>
    <w:p w:rsidR="000571AD" w:rsidRPr="00251CB8" w:rsidRDefault="000571AD" w:rsidP="00261F7C">
      <w:pPr>
        <w:pStyle w:val="Paragrafoelenco"/>
        <w:numPr>
          <w:ilvl w:val="0"/>
          <w:numId w:val="5"/>
        </w:numPr>
        <w:ind w:left="284" w:hanging="426"/>
      </w:pPr>
      <w:r w:rsidRPr="00251CB8">
        <w:t>Nelle attuali procedure SIUS bisogna tener conto della modif</w:t>
      </w:r>
      <w:r w:rsidR="00DD5581" w:rsidRPr="00251CB8">
        <w:t>ica al comma 1 dell’art 51 bis apportata dal decreto 123/2018 oggetto di tale scheda?</w:t>
      </w:r>
    </w:p>
    <w:p w:rsidR="000571AD" w:rsidRPr="00251CB8" w:rsidRDefault="000571AD" w:rsidP="009F68D2">
      <w:pPr>
        <w:pStyle w:val="Paragrafoelenco"/>
        <w:ind w:left="284"/>
      </w:pPr>
    </w:p>
    <w:p w:rsidR="000571AD" w:rsidRPr="00251CB8" w:rsidRDefault="000571AD" w:rsidP="000571AD">
      <w:pPr>
        <w:shd w:val="clear" w:color="auto" w:fill="FFFFFF"/>
        <w:spacing w:after="0" w:line="240" w:lineRule="auto"/>
        <w:jc w:val="center"/>
        <w:textAlignment w:val="baseline"/>
        <w:rPr>
          <w:rFonts w:ascii="Calibri" w:eastAsia="Times New Roman" w:hAnsi="Calibri" w:cs="Calibri"/>
          <w:color w:val="0C0C0F"/>
        </w:rPr>
      </w:pPr>
      <w:r w:rsidRPr="00251CB8">
        <w:rPr>
          <w:rFonts w:ascii="Calibri" w:eastAsia="Times New Roman" w:hAnsi="Calibri" w:cs="Calibri"/>
          <w:b/>
          <w:bCs/>
          <w:color w:val="0C0C0F"/>
        </w:rPr>
        <w:t>Art. 51-bis</w:t>
      </w:r>
    </w:p>
    <w:p w:rsidR="000571AD" w:rsidRPr="00251CB8" w:rsidRDefault="000571AD" w:rsidP="000571AD">
      <w:pPr>
        <w:shd w:val="clear" w:color="auto" w:fill="FFFFFF"/>
        <w:spacing w:after="0" w:line="240" w:lineRule="auto"/>
        <w:jc w:val="center"/>
        <w:textAlignment w:val="baseline"/>
        <w:rPr>
          <w:rFonts w:ascii="Calibri" w:eastAsia="Times New Roman" w:hAnsi="Calibri" w:cs="Calibri"/>
          <w:color w:val="0C0C0F"/>
        </w:rPr>
      </w:pPr>
      <w:r w:rsidRPr="00251CB8">
        <w:rPr>
          <w:rFonts w:ascii="Calibri" w:eastAsia="Times New Roman" w:hAnsi="Calibri" w:cs="Calibri"/>
          <w:b/>
          <w:bCs/>
          <w:color w:val="0C0C0F"/>
        </w:rPr>
        <w:t>Sopravvenienza di nuovi titoli di privazione della libertà </w:t>
      </w:r>
    </w:p>
    <w:p w:rsidR="000571AD" w:rsidRPr="00251CB8" w:rsidRDefault="000571AD" w:rsidP="000571AD">
      <w:pPr>
        <w:shd w:val="clear" w:color="auto" w:fill="FFFFFF"/>
        <w:spacing w:after="0" w:line="240" w:lineRule="auto"/>
        <w:jc w:val="both"/>
        <w:textAlignment w:val="baseline"/>
        <w:rPr>
          <w:rFonts w:ascii="Calibri" w:eastAsia="Times New Roman" w:hAnsi="Calibri" w:cs="Calibri"/>
          <w:b/>
          <w:color w:val="0C0C0F"/>
        </w:rPr>
      </w:pPr>
      <w:r w:rsidRPr="00251CB8">
        <w:rPr>
          <w:rFonts w:ascii="Calibri" w:eastAsia="Times New Roman" w:hAnsi="Calibri" w:cs="Calibri"/>
          <w:color w:val="0C0C0F"/>
        </w:rPr>
        <w:br/>
        <w:t xml:space="preserve">1. Quando, durante l'esecuzione di una misura alternativa alla detenzione, sopravviene un titolo esecutivo di altra pena detentiva, il pubblico ministero competente ai sensi dell'articolo 655 del codice di procedura penale informa immediatamente il magistrato di sorveglianza formulando contestualmente le proprie richieste. </w:t>
      </w:r>
      <w:r w:rsidRPr="00251CB8">
        <w:rPr>
          <w:rFonts w:ascii="Calibri" w:eastAsia="Times New Roman" w:hAnsi="Calibri" w:cs="Calibri"/>
          <w:b/>
          <w:color w:val="0C0C0F"/>
        </w:rPr>
        <w:t>Il magistrato di sorveglianza, tenuto conto del cumulo delle pene, se rileva che permangono le condizioni di applicabilità della misura in esecuzione, ne dispone con ordinanza la prosecuzione; in caso contrario, ne dispone la cessazione e ordina l'accompagnamento del condannato in istituto. (</w:t>
      </w:r>
      <w:r w:rsidRPr="00251CB8">
        <w:rPr>
          <w:rFonts w:ascii="Calibri" w:eastAsia="Times New Roman" w:hAnsi="Calibri" w:cs="Calibri"/>
          <w:b/>
          <w:color w:val="0C0C0F"/>
          <w:bdr w:val="none" w:sz="0" w:space="0" w:color="auto" w:frame="1"/>
          <w:vertAlign w:val="superscript"/>
        </w:rPr>
        <w:t>1</w:t>
      </w:r>
      <w:r w:rsidRPr="00251CB8">
        <w:rPr>
          <w:rFonts w:ascii="Calibri" w:eastAsia="Times New Roman" w:hAnsi="Calibri" w:cs="Calibri"/>
          <w:b/>
          <w:color w:val="0C0C0F"/>
        </w:rPr>
        <w:t>)</w:t>
      </w:r>
    </w:p>
    <w:p w:rsidR="000571AD" w:rsidRPr="00251CB8" w:rsidRDefault="000571AD" w:rsidP="000571AD">
      <w:pPr>
        <w:shd w:val="clear" w:color="auto" w:fill="FFFFFF"/>
        <w:spacing w:after="190" w:line="285" w:lineRule="atLeast"/>
        <w:jc w:val="both"/>
        <w:textAlignment w:val="baseline"/>
        <w:rPr>
          <w:rFonts w:ascii="Calibri" w:eastAsia="Times New Roman" w:hAnsi="Calibri" w:cs="Calibri"/>
          <w:color w:val="0C0C0F"/>
        </w:rPr>
      </w:pPr>
      <w:r w:rsidRPr="00251CB8">
        <w:rPr>
          <w:rFonts w:ascii="Calibri" w:eastAsia="Times New Roman" w:hAnsi="Calibri" w:cs="Calibri"/>
          <w:color w:val="0C0C0F"/>
        </w:rPr>
        <w:t>2. Avverso il provvedimento di cui al comma 1 è ammesso reclamo ai sensi dell'articolo 69-bis.</w:t>
      </w:r>
    </w:p>
    <w:p w:rsidR="000571AD" w:rsidRPr="00251CB8" w:rsidRDefault="000571AD" w:rsidP="000571AD">
      <w:pPr>
        <w:shd w:val="clear" w:color="auto" w:fill="FFFFFF"/>
        <w:spacing w:after="0" w:line="285" w:lineRule="atLeast"/>
        <w:jc w:val="both"/>
        <w:textAlignment w:val="baseline"/>
        <w:rPr>
          <w:rFonts w:ascii="Calibri" w:eastAsia="Times New Roman" w:hAnsi="Calibri" w:cs="Calibri"/>
          <w:b/>
          <w:color w:val="0C0C0F"/>
        </w:rPr>
      </w:pPr>
      <w:r w:rsidRPr="00251CB8">
        <w:rPr>
          <w:rFonts w:ascii="Calibri" w:eastAsia="Times New Roman" w:hAnsi="Calibri" w:cs="Calibri"/>
          <w:color w:val="0C0C0F"/>
        </w:rPr>
        <w:t xml:space="preserve">(1) </w:t>
      </w:r>
      <w:r w:rsidRPr="00251CB8">
        <w:rPr>
          <w:rFonts w:ascii="Calibri" w:eastAsia="Times New Roman" w:hAnsi="Calibri" w:cs="Calibri"/>
          <w:b/>
          <w:color w:val="0C0C0F"/>
        </w:rPr>
        <w:t xml:space="preserve">Comma così sostituito dall’ art. 5, comma 1, </w:t>
      </w:r>
      <w:proofErr w:type="spellStart"/>
      <w:r w:rsidRPr="00251CB8">
        <w:rPr>
          <w:rFonts w:ascii="Calibri" w:eastAsia="Times New Roman" w:hAnsi="Calibri" w:cs="Calibri"/>
          <w:b/>
          <w:color w:val="0C0C0F"/>
        </w:rPr>
        <w:t>lett</w:t>
      </w:r>
      <w:proofErr w:type="spellEnd"/>
      <w:r w:rsidRPr="00251CB8">
        <w:rPr>
          <w:rFonts w:ascii="Calibri" w:eastAsia="Times New Roman" w:hAnsi="Calibri" w:cs="Calibri"/>
          <w:b/>
          <w:color w:val="0C0C0F"/>
        </w:rPr>
        <w:t>. a), </w:t>
      </w:r>
      <w:proofErr w:type="spellStart"/>
      <w:r w:rsidRPr="00251CB8">
        <w:rPr>
          <w:rFonts w:ascii="Calibri" w:eastAsia="Times New Roman" w:hAnsi="Calibri" w:cs="Calibri"/>
          <w:b/>
          <w:color w:val="0C0C0F"/>
        </w:rPr>
        <w:fldChar w:fldCharType="begin"/>
      </w:r>
      <w:r w:rsidRPr="00251CB8">
        <w:rPr>
          <w:rFonts w:ascii="Calibri" w:eastAsia="Times New Roman" w:hAnsi="Calibri" w:cs="Calibri"/>
          <w:b/>
          <w:color w:val="0C0C0F"/>
        </w:rPr>
        <w:instrText xml:space="preserve"> HYPERLINK "https://www.altalex.com/documents/leggi/2018/10/29/riforma-ordinamento-penitenziario" </w:instrText>
      </w:r>
      <w:r w:rsidRPr="00251CB8">
        <w:rPr>
          <w:rFonts w:ascii="Calibri" w:eastAsia="Times New Roman" w:hAnsi="Calibri" w:cs="Calibri"/>
          <w:b/>
          <w:color w:val="0C0C0F"/>
        </w:rPr>
        <w:fldChar w:fldCharType="separate"/>
      </w:r>
      <w:r w:rsidRPr="00251CB8">
        <w:rPr>
          <w:rFonts w:ascii="Calibri" w:eastAsia="Times New Roman" w:hAnsi="Calibri" w:cs="Calibri"/>
          <w:b/>
          <w:color w:val="1E5192"/>
        </w:rPr>
        <w:t>D.Lgs.</w:t>
      </w:r>
      <w:proofErr w:type="spellEnd"/>
      <w:r w:rsidRPr="00251CB8">
        <w:rPr>
          <w:rFonts w:ascii="Calibri" w:eastAsia="Times New Roman" w:hAnsi="Calibri" w:cs="Calibri"/>
          <w:b/>
          <w:color w:val="1E5192"/>
        </w:rPr>
        <w:t xml:space="preserve"> 2 ottobre 2018, n. 123</w:t>
      </w:r>
      <w:r w:rsidRPr="00251CB8">
        <w:rPr>
          <w:rFonts w:ascii="Calibri" w:eastAsia="Times New Roman" w:hAnsi="Calibri" w:cs="Calibri"/>
          <w:b/>
          <w:color w:val="0C0C0F"/>
        </w:rPr>
        <w:fldChar w:fldCharType="end"/>
      </w:r>
      <w:r w:rsidRPr="00251CB8">
        <w:rPr>
          <w:rFonts w:ascii="Calibri" w:eastAsia="Times New Roman" w:hAnsi="Calibri" w:cs="Calibri"/>
          <w:b/>
          <w:color w:val="0C0C0F"/>
        </w:rPr>
        <w:t>.</w:t>
      </w:r>
    </w:p>
    <w:bookmarkEnd w:id="0"/>
    <w:p w:rsidR="000571AD" w:rsidRPr="00251CB8" w:rsidRDefault="000571AD" w:rsidP="009F68D2">
      <w:pPr>
        <w:pStyle w:val="Paragrafoelenco"/>
        <w:ind w:left="284"/>
      </w:pPr>
    </w:p>
    <w:sectPr w:rsidR="000571AD" w:rsidRPr="00251CB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422237"/>
    <w:multiLevelType w:val="hybridMultilevel"/>
    <w:tmpl w:val="6756D5EE"/>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209E16F4"/>
    <w:multiLevelType w:val="hybridMultilevel"/>
    <w:tmpl w:val="527E0ABE"/>
    <w:lvl w:ilvl="0" w:tplc="0410000F">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3AE351A6"/>
    <w:multiLevelType w:val="hybridMultilevel"/>
    <w:tmpl w:val="56CC4B62"/>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44523C49"/>
    <w:multiLevelType w:val="hybridMultilevel"/>
    <w:tmpl w:val="F66C463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482162D2"/>
    <w:multiLevelType w:val="multilevel"/>
    <w:tmpl w:val="BA664E1A"/>
    <w:lvl w:ilvl="0">
      <w:start w:val="1"/>
      <w:numFmt w:val="decimal"/>
      <w:lvlText w:val="%1."/>
      <w:lvlJc w:val="left"/>
      <w:pPr>
        <w:tabs>
          <w:tab w:val="num" w:pos="720"/>
        </w:tabs>
        <w:ind w:left="720" w:hanging="720"/>
      </w:pPr>
    </w:lvl>
    <w:lvl w:ilvl="1">
      <w:start w:val="1"/>
      <w:numFmt w:val="decimal"/>
      <w:pStyle w:val="Titolo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49E510F7"/>
    <w:multiLevelType w:val="multilevel"/>
    <w:tmpl w:val="431CDC0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6F3E759B"/>
    <w:multiLevelType w:val="hybridMultilevel"/>
    <w:tmpl w:val="683E79D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0"/>
  </w:num>
  <w:num w:numId="4">
    <w:abstractNumId w:val="3"/>
  </w:num>
  <w:num w:numId="5">
    <w:abstractNumId w:val="2"/>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4815"/>
    <w:rsid w:val="000571AD"/>
    <w:rsid w:val="001B71B5"/>
    <w:rsid w:val="00251CB8"/>
    <w:rsid w:val="00261F7C"/>
    <w:rsid w:val="005B3D7D"/>
    <w:rsid w:val="00846ADB"/>
    <w:rsid w:val="00955D63"/>
    <w:rsid w:val="009F68D2"/>
    <w:rsid w:val="00AC4815"/>
    <w:rsid w:val="00D90FFD"/>
    <w:rsid w:val="00DD5581"/>
    <w:rsid w:val="00E3023F"/>
    <w:rsid w:val="00EC306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8E4B9FC-77EC-4961-BCED-CC4F79729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it-IT" w:eastAsia="it-I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style>
  <w:style w:type="paragraph" w:styleId="Titolo2">
    <w:name w:val="heading 2"/>
    <w:aliases w:val="GPH Heading 2,GPH Heading 21,GPH Heading 22,GPH Heading 23,GPH Heading 24,GPH Heading 25,GPH Heading 26,GPH Heading 27,GPH Heading 28,GPH Heading 29,GPH Heading 210,GPH Heading 211,GPH Heading 212,GPH Heading 221,GPH Heading 231,GPH Heading 3,h"/>
    <w:basedOn w:val="Normale"/>
    <w:next w:val="Normale"/>
    <w:link w:val="Titolo2Carattere1"/>
    <w:qFormat/>
    <w:rsid w:val="00846ADB"/>
    <w:pPr>
      <w:keepNext/>
      <w:widowControl w:val="0"/>
      <w:numPr>
        <w:ilvl w:val="1"/>
        <w:numId w:val="2"/>
      </w:numPr>
      <w:suppressAutoHyphens/>
      <w:overflowPunct w:val="0"/>
      <w:autoSpaceDE w:val="0"/>
      <w:autoSpaceDN w:val="0"/>
      <w:adjustRightInd w:val="0"/>
      <w:spacing w:before="240" w:after="60" w:line="240" w:lineRule="auto"/>
      <w:ind w:left="576" w:hanging="576"/>
      <w:jc w:val="both"/>
      <w:textAlignment w:val="baseline"/>
      <w:outlineLvl w:val="1"/>
    </w:pPr>
    <w:rPr>
      <w:b/>
      <w:bCs/>
      <w:kern w:val="1"/>
      <w:sz w:val="24"/>
      <w:szCs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basedOn w:val="Carpredefinitoparagrafo"/>
    <w:uiPriority w:val="9"/>
    <w:semiHidden/>
    <w:rsid w:val="00846ADB"/>
    <w:rPr>
      <w:rFonts w:asciiTheme="majorHAnsi" w:eastAsiaTheme="majorEastAsia" w:hAnsiTheme="majorHAnsi" w:cstheme="majorBidi"/>
      <w:color w:val="2E74B5" w:themeColor="accent1" w:themeShade="BF"/>
      <w:sz w:val="26"/>
      <w:szCs w:val="26"/>
    </w:rPr>
  </w:style>
  <w:style w:type="character" w:customStyle="1" w:styleId="Titolo2Carattere1">
    <w:name w:val="Titolo 2 Carattere1"/>
    <w:aliases w:val="GPH Heading 2 Carattere,GPH Heading 21 Carattere,GPH Heading 22 Carattere,GPH Heading 23 Carattere,GPH Heading 24 Carattere,GPH Heading 25 Carattere,GPH Heading 26 Carattere,GPH Heading 27 Carattere,GPH Heading 28 Carattere"/>
    <w:link w:val="Titolo2"/>
    <w:locked/>
    <w:rsid w:val="00846ADB"/>
    <w:rPr>
      <w:b/>
      <w:bCs/>
      <w:kern w:val="1"/>
      <w:sz w:val="24"/>
      <w:szCs w:val="24"/>
    </w:rPr>
  </w:style>
  <w:style w:type="paragraph" w:styleId="Paragrafoelenco">
    <w:name w:val="List Paragraph"/>
    <w:basedOn w:val="Normale"/>
    <w:uiPriority w:val="34"/>
    <w:qFormat/>
    <w:rsid w:val="00AC481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Pages>
  <Words>662</Words>
  <Characters>3776</Characters>
  <Application>Microsoft Office Word</Application>
  <DocSecurity>0</DocSecurity>
  <Lines>31</Lines>
  <Paragraphs>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4430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 Caporizzo</dc:creator>
  <cp:keywords/>
  <dc:description/>
  <cp:lastModifiedBy>Emma Caporizzo</cp:lastModifiedBy>
  <cp:revision>9</cp:revision>
  <dcterms:created xsi:type="dcterms:W3CDTF">2020-03-18T18:22:00Z</dcterms:created>
  <dcterms:modified xsi:type="dcterms:W3CDTF">2020-03-19T09:14:00Z</dcterms:modified>
</cp:coreProperties>
</file>