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04E4" w:rsidRPr="00643BD5" w:rsidRDefault="009904E4" w:rsidP="009904E4">
      <w:pPr>
        <w:pStyle w:val="Corpotesto"/>
        <w:spacing w:before="136" w:line="360" w:lineRule="auto"/>
        <w:ind w:left="0" w:right="109" w:firstLine="0"/>
        <w:rPr>
          <w:rFonts w:ascii="Calibri" w:hAnsi="Calibri" w:cs="Calibri"/>
        </w:rPr>
      </w:pPr>
      <w:r w:rsidRPr="00643BD5">
        <w:rPr>
          <w:rFonts w:ascii="Calibri" w:hAnsi="Calibri" w:cs="Calibri"/>
        </w:rPr>
        <w:t xml:space="preserve">Con l’emanazione del d.l. 92/14 </w:t>
      </w:r>
      <w:r>
        <w:rPr>
          <w:rFonts w:ascii="Calibri" w:hAnsi="Calibri" w:cs="Calibri"/>
        </w:rPr>
        <w:t xml:space="preserve">convertito nella legge 117/2014, </w:t>
      </w:r>
      <w:r w:rsidRPr="00643BD5">
        <w:rPr>
          <w:rFonts w:ascii="Calibri" w:hAnsi="Calibri" w:cs="Calibri"/>
        </w:rPr>
        <w:t>si modificav</w:t>
      </w:r>
      <w:r>
        <w:rPr>
          <w:rFonts w:ascii="Calibri" w:hAnsi="Calibri" w:cs="Calibri"/>
        </w:rPr>
        <w:t>a</w:t>
      </w:r>
      <w:r w:rsidRPr="00643BD5">
        <w:rPr>
          <w:rFonts w:ascii="Calibri" w:hAnsi="Calibri" w:cs="Calibri"/>
        </w:rPr>
        <w:t xml:space="preserve"> l’art. 24 del</w:t>
      </w:r>
      <w:r>
        <w:rPr>
          <w:rFonts w:ascii="Calibri" w:hAnsi="Calibri" w:cs="Calibri"/>
        </w:rPr>
        <w:t xml:space="preserve"> codice processo penale </w:t>
      </w:r>
      <w:proofErr w:type="gramStart"/>
      <w:r w:rsidR="00596FB2">
        <w:rPr>
          <w:rFonts w:ascii="Calibri" w:hAnsi="Calibri" w:cs="Calibri"/>
        </w:rPr>
        <w:t>minorile(</w:t>
      </w:r>
      <w:proofErr w:type="spellStart"/>
      <w:proofErr w:type="gramEnd"/>
      <w:r w:rsidR="00596FB2" w:rsidRPr="00643BD5">
        <w:rPr>
          <w:rFonts w:ascii="Calibri" w:hAnsi="Calibri" w:cs="Calibri"/>
        </w:rPr>
        <w:t>D.lgs</w:t>
      </w:r>
      <w:proofErr w:type="spellEnd"/>
      <w:r w:rsidRPr="00643BD5">
        <w:rPr>
          <w:rFonts w:ascii="Calibri" w:hAnsi="Calibri" w:cs="Calibri"/>
        </w:rPr>
        <w:t xml:space="preserve"> 272/89</w:t>
      </w:r>
      <w:r>
        <w:rPr>
          <w:rFonts w:ascii="Calibri" w:hAnsi="Calibri" w:cs="Calibri"/>
        </w:rPr>
        <w:t>)</w:t>
      </w:r>
      <w:r w:rsidRPr="00643BD5">
        <w:rPr>
          <w:rFonts w:ascii="Calibri" w:hAnsi="Calibri" w:cs="Calibri"/>
        </w:rPr>
        <w:t xml:space="preserve"> </w:t>
      </w:r>
      <w:r w:rsidRPr="009904E4">
        <w:rPr>
          <w:rFonts w:ascii="Calibri" w:hAnsi="Calibri" w:cs="Calibri"/>
          <w:highlight w:val="yellow"/>
        </w:rPr>
        <w:t>elevando da 21 a 25 anni la soglia di età dei c.d. “</w:t>
      </w:r>
      <w:r w:rsidRPr="009904E4">
        <w:rPr>
          <w:rFonts w:ascii="Calibri" w:hAnsi="Calibri" w:cs="Calibri"/>
          <w:b/>
          <w:highlight w:val="yellow"/>
        </w:rPr>
        <w:t>giovani adulti”</w:t>
      </w:r>
      <w:r>
        <w:rPr>
          <w:rFonts w:ascii="Calibri" w:hAnsi="Calibri" w:cs="Calibri"/>
        </w:rPr>
        <w:t xml:space="preserve"> </w:t>
      </w:r>
      <w:r w:rsidRPr="00643BD5">
        <w:rPr>
          <w:rFonts w:ascii="Calibri" w:hAnsi="Calibri" w:cs="Calibri"/>
        </w:rPr>
        <w:t>ossia dei soggetti autori di reato in età minore ma che durante l’esecuzione della pena o prima della  stessa, avessero compiuto il 18 anno; questi ultimi, pertanto erano ammessi a scontare la pena all’interno degli istituti penitenziari minorili, fino al compimento dei 25 anni</w:t>
      </w:r>
    </w:p>
    <w:p w:rsidR="009904E4" w:rsidRDefault="009904E4" w:rsidP="009904E4">
      <w:pPr>
        <w:pStyle w:val="Corpotesto"/>
        <w:spacing w:before="136" w:line="360" w:lineRule="auto"/>
        <w:ind w:right="109"/>
        <w:rPr>
          <w:rFonts w:ascii="Calibri" w:hAnsi="Calibri" w:cs="Calibri"/>
          <w:b/>
        </w:rPr>
      </w:pPr>
      <w:r w:rsidRPr="004B55CC">
        <w:rPr>
          <w:rFonts w:ascii="Calibri" w:hAnsi="Calibri" w:cs="Calibri"/>
          <w:b/>
        </w:rPr>
        <w:t xml:space="preserve">Esecuzione delle misure penali di comunità e delle misure alternative </w:t>
      </w:r>
      <w:proofErr w:type="gramStart"/>
      <w:r>
        <w:rPr>
          <w:rFonts w:ascii="Calibri" w:hAnsi="Calibri" w:cs="Calibri"/>
          <w:b/>
        </w:rPr>
        <w:t>( art.</w:t>
      </w:r>
      <w:proofErr w:type="gramEnd"/>
      <w:r>
        <w:rPr>
          <w:rFonts w:ascii="Calibri" w:hAnsi="Calibri" w:cs="Calibri"/>
          <w:b/>
        </w:rPr>
        <w:t xml:space="preserve"> 9 </w:t>
      </w:r>
      <w:proofErr w:type="spellStart"/>
      <w:r>
        <w:rPr>
          <w:rFonts w:ascii="Calibri" w:hAnsi="Calibri" w:cs="Calibri"/>
          <w:b/>
        </w:rPr>
        <w:t>d.lgs</w:t>
      </w:r>
      <w:proofErr w:type="spellEnd"/>
      <w:r>
        <w:rPr>
          <w:rFonts w:ascii="Calibri" w:hAnsi="Calibri" w:cs="Calibri"/>
          <w:b/>
        </w:rPr>
        <w:t xml:space="preserve"> 121/18)</w:t>
      </w:r>
    </w:p>
    <w:p w:rsidR="009904E4" w:rsidRDefault="009904E4" w:rsidP="009904E4">
      <w:pPr>
        <w:pStyle w:val="Corpotesto"/>
        <w:spacing w:before="136" w:line="360" w:lineRule="auto"/>
        <w:ind w:right="109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A chi si applicano?</w:t>
      </w:r>
    </w:p>
    <w:p w:rsidR="009904E4" w:rsidRDefault="009904E4" w:rsidP="009904E4">
      <w:pPr>
        <w:pStyle w:val="Corpotesto"/>
        <w:spacing w:before="136" w:line="360" w:lineRule="auto"/>
        <w:ind w:right="109" w:firstLine="30"/>
        <w:rPr>
          <w:rFonts w:ascii="Calibri" w:hAnsi="Calibri" w:cs="Calibri"/>
        </w:rPr>
      </w:pPr>
      <w:r w:rsidRPr="00753201">
        <w:rPr>
          <w:rFonts w:ascii="Calibri" w:hAnsi="Calibri" w:cs="Calibri"/>
          <w:b/>
        </w:rPr>
        <w:t xml:space="preserve">Agli </w:t>
      </w:r>
      <w:proofErr w:type="spellStart"/>
      <w:r w:rsidRPr="00753201">
        <w:rPr>
          <w:rFonts w:ascii="Calibri" w:hAnsi="Calibri" w:cs="Calibri"/>
          <w:b/>
        </w:rPr>
        <w:t>infraventicinquenni</w:t>
      </w:r>
      <w:proofErr w:type="spellEnd"/>
      <w:r w:rsidRPr="000F0AC5">
        <w:rPr>
          <w:rFonts w:ascii="Calibri" w:hAnsi="Calibri" w:cs="Calibri"/>
        </w:rPr>
        <w:t xml:space="preserve">, salvo che il giudice non riscontra particolari </w:t>
      </w:r>
      <w:r>
        <w:rPr>
          <w:rFonts w:ascii="Calibri" w:hAnsi="Calibri" w:cs="Calibri"/>
        </w:rPr>
        <w:t>ragioni di sicurezza (spiccato profilo di pericolosità del condannato).</w:t>
      </w:r>
    </w:p>
    <w:p w:rsidR="009904E4" w:rsidRDefault="009904E4" w:rsidP="009904E4">
      <w:pPr>
        <w:pStyle w:val="Corpotesto"/>
        <w:spacing w:before="136" w:line="360" w:lineRule="auto"/>
        <w:ind w:right="109"/>
        <w:rPr>
          <w:rFonts w:ascii="Calibri" w:hAnsi="Calibri" w:cs="Calibri"/>
        </w:rPr>
      </w:pPr>
      <w:r>
        <w:rPr>
          <w:rFonts w:ascii="Calibri" w:hAnsi="Calibri" w:cs="Calibri"/>
          <w:b/>
        </w:rPr>
        <w:t>I</w:t>
      </w:r>
      <w:r>
        <w:rPr>
          <w:rFonts w:ascii="Calibri" w:hAnsi="Calibri" w:cs="Calibri"/>
        </w:rPr>
        <w:t xml:space="preserve">n questa </w:t>
      </w:r>
      <w:r w:rsidR="00596FB2">
        <w:rPr>
          <w:rFonts w:ascii="Calibri" w:hAnsi="Calibri" w:cs="Calibri"/>
        </w:rPr>
        <w:t>ipotesi,</w:t>
      </w:r>
      <w:r>
        <w:rPr>
          <w:rFonts w:ascii="Calibri" w:hAnsi="Calibri" w:cs="Calibri"/>
        </w:rPr>
        <w:t xml:space="preserve"> considerate le finalità </w:t>
      </w:r>
      <w:r w:rsidR="00596FB2">
        <w:rPr>
          <w:rFonts w:ascii="Calibri" w:hAnsi="Calibri" w:cs="Calibri"/>
        </w:rPr>
        <w:t>rieducative,</w:t>
      </w:r>
      <w:r>
        <w:rPr>
          <w:rFonts w:ascii="Calibri" w:hAnsi="Calibri" w:cs="Calibri"/>
        </w:rPr>
        <w:t xml:space="preserve"> può disporre l’esecuzione secondo la disciplina prevista per i maggiorenni fin dal compimento della maggiore età, </w:t>
      </w:r>
      <w:proofErr w:type="spellStart"/>
      <w:r>
        <w:rPr>
          <w:rFonts w:ascii="Calibri" w:hAnsi="Calibri" w:cs="Calibri"/>
        </w:rPr>
        <w:t>anzicchè</w:t>
      </w:r>
      <w:proofErr w:type="spellEnd"/>
      <w:r>
        <w:rPr>
          <w:rFonts w:ascii="Calibri" w:hAnsi="Calibri" w:cs="Calibri"/>
        </w:rPr>
        <w:t xml:space="preserve"> dal 21 anno di età come avveniva prima dell’entrata in vigore del </w:t>
      </w:r>
      <w:proofErr w:type="spellStart"/>
      <w:r>
        <w:rPr>
          <w:rFonts w:ascii="Calibri" w:hAnsi="Calibri" w:cs="Calibri"/>
        </w:rPr>
        <w:t>d.lgs</w:t>
      </w:r>
      <w:proofErr w:type="spellEnd"/>
      <w:r>
        <w:rPr>
          <w:rFonts w:ascii="Calibri" w:hAnsi="Calibri" w:cs="Calibri"/>
        </w:rPr>
        <w:t xml:space="preserve"> 121/18.</w:t>
      </w:r>
    </w:p>
    <w:p w:rsidR="009904E4" w:rsidRPr="000F0AC5" w:rsidRDefault="009904E4" w:rsidP="009904E4">
      <w:pPr>
        <w:pStyle w:val="Corpotesto"/>
        <w:spacing w:before="136" w:line="360" w:lineRule="auto"/>
        <w:ind w:right="109" w:firstLine="30"/>
        <w:rPr>
          <w:rFonts w:ascii="Calibri" w:hAnsi="Calibri" w:cs="Calibri"/>
        </w:rPr>
      </w:pPr>
      <w:r>
        <w:rPr>
          <w:rFonts w:ascii="Calibri" w:hAnsi="Calibri" w:cs="Calibri"/>
        </w:rPr>
        <w:t xml:space="preserve"> La stessa sorte può subire il giovane adulto quando le finalità rieducative non risultano in alcun modo perseguibili a causa della mancata adesione al trattamento in atto </w:t>
      </w:r>
    </w:p>
    <w:p w:rsidR="009904E4" w:rsidRDefault="009904E4" w:rsidP="009904E4">
      <w:pPr>
        <w:pStyle w:val="Corpotesto"/>
        <w:spacing w:before="136" w:line="360" w:lineRule="auto"/>
        <w:ind w:right="109"/>
        <w:rPr>
          <w:rFonts w:ascii="Calibri" w:hAnsi="Calibri" w:cs="Calibri"/>
          <w:b/>
        </w:rPr>
      </w:pPr>
      <w:r w:rsidRPr="00202728">
        <w:rPr>
          <w:rFonts w:ascii="Calibri" w:hAnsi="Calibri" w:cs="Calibri"/>
          <w:b/>
          <w:highlight w:val="yellow"/>
        </w:rPr>
        <w:t xml:space="preserve">Esecuzione contestuale di titoli eterogenei per fatti commessi da minore e da adulto, ex art. 10 </w:t>
      </w:r>
      <w:proofErr w:type="spellStart"/>
      <w:r w:rsidRPr="00202728">
        <w:rPr>
          <w:rFonts w:ascii="Calibri" w:hAnsi="Calibri" w:cs="Calibri"/>
          <w:b/>
          <w:highlight w:val="yellow"/>
        </w:rPr>
        <w:t>d.lgs</w:t>
      </w:r>
      <w:proofErr w:type="spellEnd"/>
      <w:r w:rsidRPr="00202728">
        <w:rPr>
          <w:rFonts w:ascii="Calibri" w:hAnsi="Calibri" w:cs="Calibri"/>
          <w:b/>
          <w:highlight w:val="yellow"/>
        </w:rPr>
        <w:t xml:space="preserve"> 121/18</w:t>
      </w:r>
    </w:p>
    <w:p w:rsidR="009904E4" w:rsidRDefault="009904E4" w:rsidP="009904E4">
      <w:pPr>
        <w:pStyle w:val="Corpotesto"/>
        <w:spacing w:before="140" w:line="360" w:lineRule="auto"/>
        <w:ind w:right="114"/>
        <w:rPr>
          <w:rFonts w:ascii="Calibri" w:hAnsi="Calibri" w:cs="Calibri"/>
        </w:rPr>
      </w:pPr>
      <w:r w:rsidRPr="00504F62">
        <w:rPr>
          <w:rFonts w:ascii="Calibri" w:hAnsi="Calibri" w:cs="Calibri"/>
        </w:rPr>
        <w:t xml:space="preserve">L’art. 10 del </w:t>
      </w:r>
      <w:proofErr w:type="spellStart"/>
      <w:r w:rsidRPr="00504F62">
        <w:rPr>
          <w:rFonts w:ascii="Calibri" w:hAnsi="Calibri" w:cs="Calibri"/>
        </w:rPr>
        <w:t>D.Lgs.</w:t>
      </w:r>
      <w:proofErr w:type="spellEnd"/>
      <w:r w:rsidRPr="00504F62">
        <w:rPr>
          <w:rFonts w:ascii="Calibri" w:hAnsi="Calibri" w:cs="Calibri"/>
        </w:rPr>
        <w:t xml:space="preserve"> 121/18 disciplina i casi in cui nel corso dell’esecuzione di una condanna per reati commessi da minorenne sopravviene un titolo di esecuzione di altra pena detentiva per reati commessi da maggiorenne. </w:t>
      </w:r>
    </w:p>
    <w:p w:rsidR="009904E4" w:rsidRDefault="009904E4" w:rsidP="009904E4">
      <w:pPr>
        <w:pStyle w:val="Corpotesto"/>
        <w:spacing w:before="140" w:line="360" w:lineRule="auto"/>
        <w:ind w:right="114" w:firstLine="30"/>
        <w:rPr>
          <w:rFonts w:ascii="Calibri" w:hAnsi="Calibri" w:cs="Calibri"/>
          <w:b/>
        </w:rPr>
      </w:pPr>
      <w:r w:rsidRPr="00C97474">
        <w:rPr>
          <w:rFonts w:ascii="Calibri" w:hAnsi="Calibri" w:cs="Calibri"/>
          <w:highlight w:val="yellow"/>
        </w:rPr>
        <w:t xml:space="preserve">In tali casi </w:t>
      </w:r>
      <w:r w:rsidRPr="00C97474">
        <w:rPr>
          <w:rFonts w:ascii="Calibri" w:hAnsi="Calibri" w:cs="Calibri"/>
          <w:b/>
          <w:highlight w:val="yellow"/>
        </w:rPr>
        <w:t>il pubblico ministero che emette l’ordine di esecuzione lo sospende e trasmette gli atti al magistrato di sorveglianza per i minorenni,</w:t>
      </w:r>
      <w:r w:rsidRPr="00C97474">
        <w:rPr>
          <w:rFonts w:ascii="Calibri" w:hAnsi="Calibri" w:cs="Calibri"/>
          <w:highlight w:val="yellow"/>
        </w:rPr>
        <w:t xml:space="preserve"> cui è attribuita la competenza a valutare se vi siano le condizioni per </w:t>
      </w:r>
      <w:r w:rsidRPr="00C97474">
        <w:rPr>
          <w:rFonts w:ascii="Calibri" w:hAnsi="Calibri" w:cs="Calibri"/>
          <w:b/>
          <w:highlight w:val="yellow"/>
        </w:rPr>
        <w:t>la prosecuzione dell’esecuzione secondo le norme e con le modalità previste per i minorenni.</w:t>
      </w:r>
    </w:p>
    <w:p w:rsidR="009904E4" w:rsidRDefault="009904E4" w:rsidP="009904E4">
      <w:pPr>
        <w:pStyle w:val="Corpotesto"/>
        <w:spacing w:before="140" w:line="360" w:lineRule="auto"/>
        <w:ind w:right="114" w:firstLine="30"/>
        <w:rPr>
          <w:rFonts w:ascii="Calibri" w:hAnsi="Calibri" w:cs="Calibri"/>
        </w:rPr>
      </w:pPr>
      <w:r>
        <w:rPr>
          <w:rFonts w:ascii="Calibri" w:hAnsi="Calibri" w:cs="Calibri"/>
        </w:rPr>
        <w:t>Se quest’ultimo ritiene che vi siano le condizioni per la prosecuzione dell’esecuzione secondo le modalità previste per i minorenni ne dispone l’estensione al nuovo titolo.</w:t>
      </w:r>
    </w:p>
    <w:p w:rsidR="009904E4" w:rsidRDefault="009904E4" w:rsidP="009904E4">
      <w:pPr>
        <w:pStyle w:val="Corpotesto"/>
        <w:spacing w:before="140" w:line="360" w:lineRule="auto"/>
        <w:ind w:right="114" w:firstLine="30"/>
        <w:rPr>
          <w:rFonts w:ascii="Calibri" w:hAnsi="Calibri" w:cs="Calibri"/>
        </w:rPr>
      </w:pPr>
      <w:r>
        <w:rPr>
          <w:rFonts w:ascii="Calibri" w:hAnsi="Calibri" w:cs="Calibri"/>
        </w:rPr>
        <w:t xml:space="preserve">In caso contrario, restituisce gli atti al PM per l’ulteriore corso </w:t>
      </w:r>
      <w:r w:rsidR="00596FB2">
        <w:rPr>
          <w:rFonts w:ascii="Calibri" w:hAnsi="Calibri" w:cs="Calibri"/>
        </w:rPr>
        <w:t>dell’esecuzione</w:t>
      </w:r>
      <w:r>
        <w:rPr>
          <w:rFonts w:ascii="Calibri" w:hAnsi="Calibri" w:cs="Calibri"/>
        </w:rPr>
        <w:t>.</w:t>
      </w:r>
    </w:p>
    <w:p w:rsidR="009904E4" w:rsidRDefault="009904E4" w:rsidP="009904E4">
      <w:pPr>
        <w:pStyle w:val="Corpotesto"/>
        <w:spacing w:before="140" w:line="360" w:lineRule="auto"/>
        <w:ind w:right="114" w:firstLine="30"/>
        <w:rPr>
          <w:rFonts w:ascii="Calibri" w:hAnsi="Calibri" w:cs="Calibri"/>
        </w:rPr>
      </w:pPr>
      <w:r w:rsidRPr="00643BD5">
        <w:rPr>
          <w:rFonts w:ascii="Calibri" w:hAnsi="Calibri" w:cs="Calibri"/>
          <w:highlight w:val="yellow"/>
        </w:rPr>
        <w:t xml:space="preserve">Potrebbe verificarsi il caso in cui l’ordine di esecuzione per il reato commesso da maggiorenne non possa essere sospeso in quanto trattasi di reato ricompreso nell’ art. 656 comma 9 </w:t>
      </w:r>
      <w:proofErr w:type="gramStart"/>
      <w:r w:rsidRPr="00643BD5">
        <w:rPr>
          <w:rFonts w:ascii="Calibri" w:hAnsi="Calibri" w:cs="Calibri"/>
          <w:highlight w:val="yellow"/>
        </w:rPr>
        <w:t>c.p.p. ,</w:t>
      </w:r>
      <w:proofErr w:type="gramEnd"/>
      <w:r w:rsidRPr="00643BD5">
        <w:rPr>
          <w:rFonts w:ascii="Calibri" w:hAnsi="Calibri" w:cs="Calibri"/>
          <w:highlight w:val="yellow"/>
        </w:rPr>
        <w:t xml:space="preserve"> in </w:t>
      </w:r>
      <w:r w:rsidRPr="00643BD5">
        <w:rPr>
          <w:rFonts w:ascii="Calibri" w:hAnsi="Calibri" w:cs="Calibri"/>
          <w:highlight w:val="yellow"/>
        </w:rPr>
        <w:lastRenderedPageBreak/>
        <w:t>questo caso il comma 4 del citato articolo in oggetto,  prevede che il Magistrato di sorveglianza trasmette gli atti al Pm per l’ulteriore corso dell’ esecuzione secondo le norme e con le modalità previste per i maggiorenni</w:t>
      </w:r>
    </w:p>
    <w:p w:rsidR="009904E4" w:rsidRDefault="009904E4" w:rsidP="009904E4">
      <w:pPr>
        <w:pStyle w:val="Corpotesto"/>
        <w:spacing w:before="140" w:line="360" w:lineRule="auto"/>
        <w:ind w:right="114" w:firstLine="30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:rsidR="009904E4" w:rsidRDefault="009904E4" w:rsidP="009904E4">
      <w:pPr>
        <w:pStyle w:val="Corpotesto"/>
        <w:spacing w:before="140" w:line="360" w:lineRule="auto"/>
        <w:ind w:right="114" w:firstLine="30"/>
        <w:rPr>
          <w:rFonts w:ascii="Calibri" w:hAnsi="Calibri" w:cs="Calibri"/>
        </w:rPr>
      </w:pPr>
      <w:r w:rsidRPr="009E7064">
        <w:rPr>
          <w:rFonts w:ascii="Calibri" w:hAnsi="Calibri" w:cs="Calibri"/>
        </w:rPr>
        <w:t>Credo che si dovrebbe creare un collegamento tra il SIEP maggiorenni</w:t>
      </w:r>
      <w:r>
        <w:rPr>
          <w:rFonts w:ascii="Calibri" w:hAnsi="Calibri" w:cs="Calibri"/>
        </w:rPr>
        <w:t xml:space="preserve"> </w:t>
      </w:r>
      <w:r w:rsidRPr="009E7064">
        <w:rPr>
          <w:rFonts w:ascii="Calibri" w:hAnsi="Calibri" w:cs="Calibri"/>
        </w:rPr>
        <w:t>ed il SIUS minorenni per poter trasmettere telematicamente</w:t>
      </w:r>
      <w:r>
        <w:rPr>
          <w:rFonts w:ascii="Calibri" w:hAnsi="Calibri" w:cs="Calibri"/>
        </w:rPr>
        <w:t xml:space="preserve"> tali notizie e conoscere la decisione del Tribunale di Sorveglianza </w:t>
      </w:r>
      <w:proofErr w:type="gramStart"/>
      <w:r>
        <w:rPr>
          <w:rFonts w:ascii="Calibri" w:hAnsi="Calibri" w:cs="Calibri"/>
        </w:rPr>
        <w:t>minorile .</w:t>
      </w:r>
      <w:proofErr w:type="gramEnd"/>
    </w:p>
    <w:p w:rsidR="009904E4" w:rsidRDefault="009904E4" w:rsidP="009904E4">
      <w:pPr>
        <w:pStyle w:val="Corpotesto"/>
        <w:spacing w:before="140" w:line="360" w:lineRule="auto"/>
        <w:ind w:right="114" w:firstLine="30"/>
        <w:rPr>
          <w:rFonts w:ascii="Calibri" w:hAnsi="Calibri" w:cs="Calibri"/>
          <w:b/>
        </w:rPr>
      </w:pPr>
      <w:r>
        <w:rPr>
          <w:rFonts w:ascii="Calibri" w:hAnsi="Calibri" w:cs="Calibri"/>
        </w:rPr>
        <w:t xml:space="preserve">Inoltre, l’ufficio esecuzioni della Procura della Repubblica potrebbe avere una visione più ampia dei soggetti colpiti da esecuzione penale, stante il ritardo o la poca </w:t>
      </w:r>
      <w:r w:rsidR="00596FB2">
        <w:rPr>
          <w:rFonts w:ascii="Calibri" w:hAnsi="Calibri" w:cs="Calibri"/>
        </w:rPr>
        <w:t>esattezza delle</w:t>
      </w:r>
      <w:r>
        <w:rPr>
          <w:rFonts w:ascii="Calibri" w:hAnsi="Calibri" w:cs="Calibri"/>
        </w:rPr>
        <w:t xml:space="preserve"> iscrizioni sul casellario giudiziale </w:t>
      </w:r>
    </w:p>
    <w:p w:rsidR="009904E4" w:rsidRDefault="009904E4" w:rsidP="009904E4">
      <w:pPr>
        <w:pStyle w:val="Corpotesto"/>
        <w:spacing w:before="140" w:line="360" w:lineRule="auto"/>
        <w:ind w:right="114" w:firstLine="30"/>
        <w:rPr>
          <w:rFonts w:ascii="Calibri" w:hAnsi="Calibri" w:cs="Calibri"/>
        </w:rPr>
      </w:pPr>
      <w:r w:rsidRPr="00504F62">
        <w:rPr>
          <w:rFonts w:ascii="Calibri" w:hAnsi="Calibri" w:cs="Calibri"/>
        </w:rPr>
        <w:t>Il comma 5 dell’art. 10 affronta un’ulteriore ipotesi disponendo quanto segue “</w:t>
      </w:r>
      <w:r w:rsidRPr="00643BD5">
        <w:rPr>
          <w:rFonts w:ascii="Calibri" w:hAnsi="Calibri" w:cs="Calibri"/>
          <w:i/>
          <w:highlight w:val="yellow"/>
        </w:rPr>
        <w:t xml:space="preserve">Se il condannato per reati commessi da minorenne abbia fatto ingresso in un istituto per adulti </w:t>
      </w:r>
      <w:r w:rsidRPr="00643BD5">
        <w:rPr>
          <w:rFonts w:ascii="Calibri" w:hAnsi="Calibri" w:cs="Calibri"/>
          <w:b/>
          <w:i/>
          <w:highlight w:val="yellow"/>
        </w:rPr>
        <w:t xml:space="preserve">in custodia cautelare o in espiazione di pena, </w:t>
      </w:r>
      <w:r w:rsidRPr="00643BD5">
        <w:rPr>
          <w:rFonts w:ascii="Calibri" w:hAnsi="Calibri" w:cs="Calibri"/>
          <w:i/>
          <w:highlight w:val="yellow"/>
        </w:rPr>
        <w:t>per reati commessi dopo il compimento del diciottesimo anno di età, non si fa luogo all’esecuzione secondo le norme e con le modalità previste per i minorenni</w:t>
      </w:r>
      <w:r w:rsidRPr="00643BD5">
        <w:rPr>
          <w:rFonts w:ascii="Calibri" w:hAnsi="Calibri" w:cs="Calibri"/>
          <w:highlight w:val="yellow"/>
        </w:rPr>
        <w:t>”.</w:t>
      </w:r>
    </w:p>
    <w:p w:rsidR="009904E4" w:rsidRPr="00643BD5" w:rsidRDefault="009904E4" w:rsidP="009904E4">
      <w:pPr>
        <w:spacing w:before="2" w:line="360" w:lineRule="auto"/>
        <w:ind w:left="112" w:right="111" w:firstLine="30"/>
        <w:jc w:val="both"/>
        <w:rPr>
          <w:rFonts w:ascii="Calibri" w:hAnsi="Calibri" w:cs="Calibri"/>
          <w:sz w:val="24"/>
        </w:rPr>
      </w:pPr>
      <w:r w:rsidRPr="00643BD5">
        <w:rPr>
          <w:rFonts w:ascii="Calibri" w:hAnsi="Calibri" w:cs="Calibri"/>
          <w:sz w:val="24"/>
        </w:rPr>
        <w:t xml:space="preserve">Sin dall’entrata in vigore del </w:t>
      </w:r>
      <w:proofErr w:type="spellStart"/>
      <w:r w:rsidRPr="00643BD5">
        <w:rPr>
          <w:rFonts w:ascii="Calibri" w:hAnsi="Calibri" w:cs="Calibri"/>
          <w:sz w:val="24"/>
        </w:rPr>
        <w:t>D.Lgs.</w:t>
      </w:r>
      <w:proofErr w:type="spellEnd"/>
      <w:r w:rsidRPr="00643BD5">
        <w:rPr>
          <w:rFonts w:ascii="Calibri" w:hAnsi="Calibri" w:cs="Calibri"/>
          <w:sz w:val="24"/>
        </w:rPr>
        <w:t xml:space="preserve"> 121/18 si sono registrate divergenze interpretative con riferimento all’applicazione del sopra citato comma.</w:t>
      </w:r>
    </w:p>
    <w:p w:rsidR="009904E4" w:rsidRDefault="009904E4" w:rsidP="009904E4">
      <w:pPr>
        <w:pStyle w:val="Corpotesto"/>
        <w:spacing w:before="1" w:line="360" w:lineRule="auto"/>
        <w:ind w:right="112" w:firstLine="30"/>
        <w:rPr>
          <w:rFonts w:ascii="Calibri" w:hAnsi="Calibri" w:cs="Calibri"/>
        </w:rPr>
      </w:pPr>
      <w:r w:rsidRPr="00643BD5">
        <w:rPr>
          <w:rFonts w:ascii="Calibri" w:hAnsi="Calibri" w:cs="Calibri"/>
        </w:rPr>
        <w:t>Secondo taluni interpreti la norma in questione determinerebbe un automatismo; altra giurisprudenza contrasta tale lettura e ritiene, in particolare, necessaria l’attualità del titolo detentivo ordinario, non reputando sufficiente un ingresso in istituto per adulti per breve periodo ed eventualmente risalente per escludere l’esecuzione della pena secondo le norme e le modalità previste per i minorenni.</w:t>
      </w:r>
    </w:p>
    <w:p w:rsidR="009904E4" w:rsidRDefault="009904E4" w:rsidP="009904E4">
      <w:pPr>
        <w:pStyle w:val="Corpotesto"/>
        <w:spacing w:before="1" w:line="360" w:lineRule="auto"/>
        <w:ind w:right="112" w:firstLine="30"/>
        <w:rPr>
          <w:rFonts w:ascii="Calibri" w:hAnsi="Calibri" w:cs="Calibri"/>
        </w:rPr>
      </w:pPr>
      <w:r w:rsidRPr="00643BD5">
        <w:rPr>
          <w:rFonts w:ascii="Calibri" w:hAnsi="Calibri" w:cs="Calibri"/>
        </w:rPr>
        <w:t xml:space="preserve"> Tale interpretazione considera il pregresso ingresso in un istituto per adulti uno degli elementi che deve esser esaminato dall’A.G. nell’ambito della valutazione prevista dall’art. 24 </w:t>
      </w:r>
      <w:r>
        <w:rPr>
          <w:rFonts w:ascii="Calibri" w:hAnsi="Calibri" w:cs="Calibri"/>
        </w:rPr>
        <w:t xml:space="preserve">de codice penale minorile. </w:t>
      </w:r>
    </w:p>
    <w:p w:rsidR="00D129DD" w:rsidRPr="00C97474" w:rsidRDefault="009904E4" w:rsidP="009904E4">
      <w:pPr>
        <w:rPr>
          <w:b/>
          <w:sz w:val="24"/>
          <w:szCs w:val="24"/>
        </w:rPr>
      </w:pPr>
      <w:r w:rsidRPr="00C97474">
        <w:rPr>
          <w:rFonts w:ascii="Calibri" w:hAnsi="Calibri" w:cs="Calibri"/>
          <w:b/>
          <w:sz w:val="24"/>
          <w:szCs w:val="24"/>
        </w:rPr>
        <w:t xml:space="preserve">Anche in questo caso è necessario un collegamento tra il SIUS maggiorenni e SIUS minorenni  </w:t>
      </w:r>
      <w:bookmarkStart w:id="0" w:name="_GoBack"/>
      <w:bookmarkEnd w:id="0"/>
    </w:p>
    <w:sectPr w:rsidR="00D129DD" w:rsidRPr="00C97474" w:rsidSect="00D129D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</w:compat>
  <w:rsids>
    <w:rsidRoot w:val="009904E4"/>
    <w:rsid w:val="000717FD"/>
    <w:rsid w:val="00596FB2"/>
    <w:rsid w:val="009904E4"/>
    <w:rsid w:val="00A21737"/>
    <w:rsid w:val="00C97474"/>
    <w:rsid w:val="00D12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1C82BAF-56B1-4F8B-9FBE-991D699C2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3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9904E4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link w:val="CorpotestoCarattere"/>
    <w:uiPriority w:val="1"/>
    <w:qFormat/>
    <w:rsid w:val="009904E4"/>
    <w:pPr>
      <w:widowControl w:val="0"/>
      <w:autoSpaceDE w:val="0"/>
      <w:autoSpaceDN w:val="0"/>
      <w:spacing w:after="0" w:line="240" w:lineRule="auto"/>
      <w:ind w:left="112" w:firstLine="708"/>
      <w:jc w:val="both"/>
    </w:pPr>
    <w:rPr>
      <w:rFonts w:ascii="Garamond" w:eastAsia="Garamond" w:hAnsi="Garamond" w:cs="Garamond"/>
      <w:sz w:val="24"/>
      <w:szCs w:val="24"/>
      <w:lang w:eastAsia="it-IT" w:bidi="it-IT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9904E4"/>
    <w:rPr>
      <w:rFonts w:ascii="Garamond" w:eastAsia="Garamond" w:hAnsi="Garamond" w:cs="Garamond"/>
      <w:sz w:val="24"/>
      <w:szCs w:val="24"/>
      <w:lang w:eastAsia="it-IT" w:bidi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Emma Caporizzo</cp:lastModifiedBy>
  <cp:revision>3</cp:revision>
  <dcterms:created xsi:type="dcterms:W3CDTF">2020-05-05T11:27:00Z</dcterms:created>
  <dcterms:modified xsi:type="dcterms:W3CDTF">2020-05-06T10:21:00Z</dcterms:modified>
</cp:coreProperties>
</file>