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569" w:rsidRDefault="00EA0D98">
      <w:r>
        <w:t xml:space="preserve">Attività necessarie all’adeguamento di SIEP per interoperabilità con </w:t>
      </w:r>
      <w:proofErr w:type="spellStart"/>
      <w:r>
        <w:t>PagoPA</w:t>
      </w:r>
      <w:proofErr w:type="spellEnd"/>
    </w:p>
    <w:p w:rsidR="00EA0D98" w:rsidRDefault="00EA0D98" w:rsidP="00EA0D98">
      <w:pPr>
        <w:pStyle w:val="Paragrafoelenco"/>
        <w:numPr>
          <w:ilvl w:val="0"/>
          <w:numId w:val="2"/>
        </w:numPr>
      </w:pPr>
      <w:r>
        <w:t>Iscrizione Procedimento</w:t>
      </w:r>
    </w:p>
    <w:p w:rsidR="00EA0D98" w:rsidRDefault="00EA0D98" w:rsidP="00EA0D98">
      <w:pPr>
        <w:pStyle w:val="Paragrafoelenco"/>
      </w:pPr>
    </w:p>
    <w:p w:rsidR="00EA0D98" w:rsidRDefault="00180D0F" w:rsidP="00EA0D98">
      <w:pPr>
        <w:pStyle w:val="Paragrafoelenco"/>
      </w:pPr>
      <w:r w:rsidRPr="00CE5E59">
        <w:rPr>
          <w:highlight w:val="yellow"/>
        </w:rPr>
        <w:t>1a</w:t>
      </w:r>
      <w:r w:rsidRPr="00CE5E59">
        <w:rPr>
          <w:highlight w:val="yellow"/>
        </w:rPr>
        <w:tab/>
        <w:t>Iscrizione Pena Complessiva</w:t>
      </w:r>
      <w:r w:rsidR="00EA0D98">
        <w:t xml:space="preserve"> </w:t>
      </w:r>
    </w:p>
    <w:p w:rsidR="00180D0F" w:rsidRDefault="00180D0F" w:rsidP="00180D0F">
      <w:pPr>
        <w:pStyle w:val="Paragrafoelenco"/>
        <w:numPr>
          <w:ilvl w:val="0"/>
          <w:numId w:val="6"/>
        </w:numPr>
      </w:pPr>
      <w:r>
        <w:t xml:space="preserve">Aggiornamento delle attuali </w:t>
      </w:r>
      <w:proofErr w:type="spellStart"/>
      <w:r>
        <w:t>form</w:t>
      </w:r>
      <w:proofErr w:type="spellEnd"/>
      <w:r>
        <w:t xml:space="preserve"> Inserimento, Modifica e Dettaglio con l’aggiunta del “Lavoro pubblica utilità” nella combo-box delle Sanzioni Sostitutive</w:t>
      </w:r>
    </w:p>
    <w:p w:rsidR="00180D0F" w:rsidRDefault="00180D0F" w:rsidP="00180D0F">
      <w:r>
        <w:rPr>
          <w:noProof/>
          <w:lang w:eastAsia="it-IT"/>
        </w:rPr>
        <w:drawing>
          <wp:inline distT="0" distB="0" distL="0" distR="0" wp14:anchorId="385A0ED7" wp14:editId="226811BE">
            <wp:extent cx="5594350" cy="2714171"/>
            <wp:effectExtent l="0" t="0" r="635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974" cy="27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1D5" w:rsidRDefault="007D21D5" w:rsidP="00180D0F">
      <w:r>
        <w:t xml:space="preserve">Nella </w:t>
      </w:r>
      <w:proofErr w:type="spellStart"/>
      <w:r>
        <w:t>form</w:t>
      </w:r>
      <w:proofErr w:type="spellEnd"/>
      <w:r>
        <w:t xml:space="preserve"> di Dettaglio Pena </w:t>
      </w:r>
      <w:proofErr w:type="spellStart"/>
      <w:proofErr w:type="gramStart"/>
      <w:r>
        <w:t>Complessiva,nella</w:t>
      </w:r>
      <w:proofErr w:type="spellEnd"/>
      <w:proofErr w:type="gramEnd"/>
      <w:r>
        <w:t xml:space="preserve"> combo box delle azioni saranno aggiunte due nuove voci “Modalità Pagamento Pena Pecuniaria”, “</w:t>
      </w:r>
      <w:r w:rsidR="00657DCD">
        <w:t xml:space="preserve">Civilmente Obbligato Pena </w:t>
      </w:r>
      <w:proofErr w:type="spellStart"/>
      <w:r w:rsidR="00657DCD">
        <w:t>Pecuniria</w:t>
      </w:r>
      <w:proofErr w:type="spellEnd"/>
      <w:r w:rsidR="00657DCD">
        <w:t>”</w:t>
      </w:r>
    </w:p>
    <w:p w:rsidR="00657DCD" w:rsidRDefault="00657DCD" w:rsidP="00180D0F">
      <w:r>
        <w:rPr>
          <w:noProof/>
          <w:lang w:eastAsia="it-IT"/>
        </w:rPr>
        <w:drawing>
          <wp:inline distT="0" distB="0" distL="0" distR="0" wp14:anchorId="6B30DEAD" wp14:editId="2DF39609">
            <wp:extent cx="6120130" cy="1922780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EB" w:rsidRDefault="003643EB" w:rsidP="00CE5E59">
      <w:pPr>
        <w:ind w:left="708"/>
      </w:pPr>
      <w:r w:rsidRPr="00CE5E59">
        <w:rPr>
          <w:highlight w:val="yellow"/>
        </w:rPr>
        <w:t>1b</w:t>
      </w:r>
      <w:r w:rsidRPr="00CE5E59">
        <w:rPr>
          <w:highlight w:val="yellow"/>
        </w:rPr>
        <w:tab/>
      </w:r>
      <w:r w:rsidR="00CE5E59" w:rsidRPr="00CE5E59">
        <w:rPr>
          <w:highlight w:val="yellow"/>
        </w:rPr>
        <w:t>Modalità Pagamento Pena Pecuniaria</w:t>
      </w:r>
    </w:p>
    <w:p w:rsidR="00CE5E59" w:rsidRDefault="00CE5E59" w:rsidP="003643EB">
      <w:pPr>
        <w:ind w:left="708"/>
      </w:pPr>
      <w:r>
        <w:tab/>
        <w:t>La funzione consentirà di gestire la modalità di pagamento della pena pecuniaria come stabilità dal giudice della cognizione in sentenza o successivamente alla decisione della Sorveglianza o del GE. Per tale motivo la funzione sarà abilitata sia su procedimento in stato di iscritto, sia su procedimento già validato.</w:t>
      </w:r>
      <w:r>
        <w:br/>
        <w:t xml:space="preserve">Selezionando questa voce, il sistema controllerà se nella base dati risulta già inserita tale informazione, in caso di esistenza presenterà la </w:t>
      </w:r>
      <w:proofErr w:type="spellStart"/>
      <w:r>
        <w:t>form</w:t>
      </w:r>
      <w:proofErr w:type="spellEnd"/>
      <w:r>
        <w:t xml:space="preserve"> di Dettaglio, in caso di assenza presenterà la </w:t>
      </w:r>
      <w:proofErr w:type="spellStart"/>
      <w:r>
        <w:t>form</w:t>
      </w:r>
      <w:proofErr w:type="spellEnd"/>
      <w:r>
        <w:t xml:space="preserve"> di inserimento</w:t>
      </w:r>
    </w:p>
    <w:p w:rsidR="00446883" w:rsidRDefault="00446883" w:rsidP="003643EB">
      <w:pPr>
        <w:ind w:left="708"/>
      </w:pPr>
      <w:r>
        <w:rPr>
          <w:noProof/>
          <w:lang w:eastAsia="it-IT"/>
        </w:rPr>
        <w:lastRenderedPageBreak/>
        <w:drawing>
          <wp:inline distT="0" distB="0" distL="0" distR="0" wp14:anchorId="4BECF602" wp14:editId="535A45D4">
            <wp:extent cx="6120130" cy="250253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F9B" w:rsidRDefault="00352F9B" w:rsidP="003643EB">
      <w:pPr>
        <w:ind w:left="708"/>
      </w:pPr>
      <w:r>
        <w:t>In cui le due modalità di pagamento sono ovviamente alternative. Gli importi complessivi indicati in pagamento unica soluzione o rateizzato deve essere uguale a quanto indicato in importo da pagare.</w:t>
      </w:r>
      <w:r>
        <w:br/>
      </w:r>
      <w:r>
        <w:br/>
        <w:t xml:space="preserve">Quesito: l’importo da pagare è sempre uguale alla somma degli importi riportati, nella prima parte della </w:t>
      </w:r>
      <w:proofErr w:type="spellStart"/>
      <w:r>
        <w:t>form</w:t>
      </w:r>
      <w:proofErr w:type="spellEnd"/>
      <w:r>
        <w:t xml:space="preserve">, per la pena </w:t>
      </w:r>
      <w:proofErr w:type="spellStart"/>
      <w:r>
        <w:t>pecuniara</w:t>
      </w:r>
      <w:proofErr w:type="spellEnd"/>
      <w:r>
        <w:t xml:space="preserve"> e per la Pena Pecuniaria sostitutiva?</w:t>
      </w:r>
    </w:p>
    <w:p w:rsidR="0006740B" w:rsidRDefault="0006740B" w:rsidP="003643EB">
      <w:pPr>
        <w:ind w:left="708"/>
      </w:pPr>
      <w:r>
        <w:t xml:space="preserve">A seguito della conferma il sistema presenterà la seguente </w:t>
      </w:r>
      <w:proofErr w:type="spellStart"/>
      <w:r>
        <w:t>form</w:t>
      </w:r>
      <w:proofErr w:type="spellEnd"/>
      <w:r>
        <w:t xml:space="preserve"> di Dettaglio</w:t>
      </w:r>
    </w:p>
    <w:p w:rsidR="0006740B" w:rsidRDefault="0006740B" w:rsidP="003643EB">
      <w:pPr>
        <w:ind w:left="708"/>
      </w:pPr>
      <w:r>
        <w:rPr>
          <w:noProof/>
          <w:lang w:eastAsia="it-IT"/>
        </w:rPr>
        <w:drawing>
          <wp:inline distT="0" distB="0" distL="0" distR="0" wp14:anchorId="10F05E32" wp14:editId="69523EB4">
            <wp:extent cx="6120130" cy="2354580"/>
            <wp:effectExtent l="0" t="0" r="0" b="762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0B" w:rsidRDefault="0006740B" w:rsidP="003643EB">
      <w:pPr>
        <w:ind w:left="708"/>
      </w:pPr>
      <w:r>
        <w:t>Da cui sarà possibile procedere alla Modifica o alla Cancellazione dei dati.</w:t>
      </w:r>
    </w:p>
    <w:p w:rsidR="00AA74A0" w:rsidRDefault="00AA74A0" w:rsidP="00AA74A0">
      <w:pPr>
        <w:ind w:left="708"/>
      </w:pPr>
      <w:r w:rsidRPr="00CC6ACD">
        <w:rPr>
          <w:highlight w:val="yellow"/>
        </w:rPr>
        <w:t>1c</w:t>
      </w:r>
      <w:r w:rsidRPr="00CC6ACD">
        <w:rPr>
          <w:highlight w:val="yellow"/>
        </w:rPr>
        <w:tab/>
        <w:t>Civilmente Obbligato</w:t>
      </w:r>
      <w:r w:rsidR="00CC6ACD" w:rsidRPr="00CC6ACD">
        <w:rPr>
          <w:highlight w:val="yellow"/>
        </w:rPr>
        <w:t xml:space="preserve"> Pena Pecuniaria</w:t>
      </w:r>
    </w:p>
    <w:p w:rsidR="0006740B" w:rsidRDefault="0006740B" w:rsidP="0006740B">
      <w:pPr>
        <w:ind w:left="708"/>
      </w:pPr>
      <w:r>
        <w:tab/>
        <w:t xml:space="preserve">La funzione consentirà di gestire la </w:t>
      </w:r>
      <w:r w:rsidR="00CC6ACD">
        <w:t>Persona Fisica/Giuridica civilmente obbligata al</w:t>
      </w:r>
      <w:r>
        <w:t xml:space="preserve"> pagamento della pena pecuniaria</w:t>
      </w:r>
      <w:r w:rsidR="00CC6ACD">
        <w:t xml:space="preserve"> in caso di mancato pagamento da parte del Condannato</w:t>
      </w:r>
      <w:r>
        <w:t xml:space="preserve"> come </w:t>
      </w:r>
      <w:r w:rsidR="00CC6ACD">
        <w:t>indicato</w:t>
      </w:r>
      <w:r>
        <w:t xml:space="preserve"> dal giudice della cognizione in sentenza o successivamente alla decisione della Sorveglianza o del GE. Per tale motivo la funzione sarà abilitata sia su procedimento in stato di iscritto, sia su procedimento già validato.</w:t>
      </w:r>
      <w:r>
        <w:br/>
        <w:t xml:space="preserve">Selezionando questa voce, il sistema controllerà se nella base dati risulta già inserita tale informazione, in caso di esistenza presenterà la </w:t>
      </w:r>
      <w:proofErr w:type="spellStart"/>
      <w:r>
        <w:t>form</w:t>
      </w:r>
      <w:proofErr w:type="spellEnd"/>
      <w:r>
        <w:t xml:space="preserve"> di Dettaglio, in caso di assenza presenterà la </w:t>
      </w:r>
      <w:proofErr w:type="spellStart"/>
      <w:r>
        <w:t>form</w:t>
      </w:r>
      <w:proofErr w:type="spellEnd"/>
      <w:r>
        <w:t xml:space="preserve"> di inserimento</w:t>
      </w:r>
    </w:p>
    <w:p w:rsidR="00CC6ACD" w:rsidRDefault="00CC6ACD" w:rsidP="0006740B">
      <w:pPr>
        <w:ind w:left="708"/>
      </w:pPr>
      <w:r>
        <w:rPr>
          <w:noProof/>
          <w:lang w:eastAsia="it-IT"/>
        </w:rPr>
        <w:lastRenderedPageBreak/>
        <w:drawing>
          <wp:inline distT="0" distB="0" distL="0" distR="0" wp14:anchorId="6B20FB21" wp14:editId="3B851DB8">
            <wp:extent cx="6120130" cy="278638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CD" w:rsidRDefault="00CC6ACD" w:rsidP="0006740B">
      <w:pPr>
        <w:ind w:left="708"/>
      </w:pPr>
      <w:r>
        <w:t>Quesito: vi può essere più di una occorrenza?</w:t>
      </w:r>
    </w:p>
    <w:p w:rsidR="00CC6ACD" w:rsidRDefault="00CC6ACD" w:rsidP="00CC6ACD">
      <w:pPr>
        <w:ind w:left="708"/>
      </w:pPr>
      <w:r>
        <w:t xml:space="preserve">A seguito della conferma il sistema presenterà la seguente </w:t>
      </w:r>
      <w:proofErr w:type="spellStart"/>
      <w:r>
        <w:t>form</w:t>
      </w:r>
      <w:proofErr w:type="spellEnd"/>
      <w:r>
        <w:t xml:space="preserve"> di Dettaglio</w:t>
      </w:r>
    </w:p>
    <w:p w:rsidR="00180D0F" w:rsidRDefault="007540D6" w:rsidP="00AA74A0">
      <w:pPr>
        <w:ind w:left="708"/>
      </w:pPr>
      <w:r>
        <w:rPr>
          <w:noProof/>
          <w:lang w:eastAsia="it-IT"/>
        </w:rPr>
        <w:drawing>
          <wp:inline distT="0" distB="0" distL="0" distR="0" wp14:anchorId="16E84E1A" wp14:editId="3FE70682">
            <wp:extent cx="6032810" cy="3765744"/>
            <wp:effectExtent l="0" t="0" r="6350" b="635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2810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01C" w:rsidRDefault="0008101C" w:rsidP="0008101C">
      <w:pPr>
        <w:ind w:left="708"/>
      </w:pPr>
      <w:r>
        <w:t>Da cui sarà possibile procedere alla Modifica o alla C</w:t>
      </w:r>
      <w:r>
        <w:t>ancellazione dei dati oppure richiamare la funzione di Gestione del Difensore della persona Civilmente obbligata (</w:t>
      </w:r>
      <w:proofErr w:type="spellStart"/>
      <w:r>
        <w:t>n.b</w:t>
      </w:r>
      <w:r w:rsidRPr="007540D6">
        <w:rPr>
          <w:highlight w:val="cyan"/>
        </w:rPr>
        <w:t>.</w:t>
      </w:r>
      <w:proofErr w:type="spellEnd"/>
      <w:r w:rsidRPr="007540D6">
        <w:rPr>
          <w:highlight w:val="cyan"/>
        </w:rPr>
        <w:t xml:space="preserve"> la funzione non sarà realizzata entro</w:t>
      </w:r>
      <w:r w:rsidR="007540D6" w:rsidRPr="007540D6">
        <w:rPr>
          <w:highlight w:val="cyan"/>
        </w:rPr>
        <w:t xml:space="preserve"> </w:t>
      </w:r>
      <w:r w:rsidRPr="007540D6">
        <w:rPr>
          <w:highlight w:val="cyan"/>
        </w:rPr>
        <w:t>il 15 marzo</w:t>
      </w:r>
      <w:r>
        <w:t>).</w:t>
      </w:r>
    </w:p>
    <w:p w:rsidR="00C5539B" w:rsidRDefault="00C5539B" w:rsidP="0008101C">
      <w:pPr>
        <w:ind w:left="708"/>
      </w:pPr>
    </w:p>
    <w:p w:rsidR="00C5539B" w:rsidRDefault="00C5539B" w:rsidP="00C5539B">
      <w:pPr>
        <w:ind w:left="708"/>
      </w:pPr>
    </w:p>
    <w:p w:rsidR="00C5539B" w:rsidRDefault="00C5539B" w:rsidP="00C5539B">
      <w:pPr>
        <w:ind w:left="708"/>
      </w:pPr>
    </w:p>
    <w:p w:rsidR="00C5539B" w:rsidRDefault="00C5539B" w:rsidP="00C5539B">
      <w:pPr>
        <w:ind w:left="708"/>
      </w:pPr>
    </w:p>
    <w:p w:rsidR="00C5539B" w:rsidRDefault="00C5539B" w:rsidP="00C5539B">
      <w:pPr>
        <w:ind w:left="708"/>
      </w:pPr>
      <w:r w:rsidRPr="00C5539B">
        <w:lastRenderedPageBreak/>
        <w:t>1d</w:t>
      </w:r>
      <w:r w:rsidRPr="00C5539B">
        <w:tab/>
      </w:r>
      <w:r w:rsidRPr="007468B1">
        <w:rPr>
          <w:highlight w:val="cyan"/>
        </w:rPr>
        <w:t xml:space="preserve">Ulteriori interventi da realizzare al di </w:t>
      </w:r>
      <w:proofErr w:type="gramStart"/>
      <w:r w:rsidRPr="007468B1">
        <w:rPr>
          <w:highlight w:val="cyan"/>
        </w:rPr>
        <w:t>fuori  della</w:t>
      </w:r>
      <w:proofErr w:type="gramEnd"/>
      <w:r w:rsidRPr="007468B1">
        <w:rPr>
          <w:highlight w:val="cyan"/>
        </w:rPr>
        <w:t xml:space="preserve"> MEV 2023-13</w:t>
      </w:r>
    </w:p>
    <w:p w:rsidR="00180D0F" w:rsidRDefault="00180D0F" w:rsidP="00180D0F">
      <w:pPr>
        <w:pStyle w:val="Paragrafoelenco"/>
        <w:numPr>
          <w:ilvl w:val="0"/>
          <w:numId w:val="4"/>
        </w:numPr>
      </w:pPr>
      <w:r>
        <w:t xml:space="preserve">inserimento di </w:t>
      </w:r>
      <w:proofErr w:type="spellStart"/>
      <w:r>
        <w:t>form</w:t>
      </w:r>
      <w:proofErr w:type="spellEnd"/>
      <w:r>
        <w:t xml:space="preserve"> intermedia per quantificazione dettagliata della sanzione che si sostituisce, aggiunta del Lavoro pubblica utilità nelle tipologie Sanzioni Sostitutive. Conseguente aggiornamento funzioni Dettaglio, Modifica, Cancellazione</w:t>
      </w:r>
    </w:p>
    <w:p w:rsidR="00180D0F" w:rsidRDefault="00180D0F" w:rsidP="00180D0F">
      <w:pPr>
        <w:pStyle w:val="Paragrafoelenco"/>
        <w:numPr>
          <w:ilvl w:val="0"/>
          <w:numId w:val="4"/>
        </w:numPr>
      </w:pPr>
      <w:r>
        <w:t xml:space="preserve">gestione quantificazione Lavoro pubblica utilità (inserimento, dettaglio, modifica, cancellazione) </w:t>
      </w:r>
    </w:p>
    <w:p w:rsidR="00180D0F" w:rsidRDefault="00180D0F" w:rsidP="00AA74A0">
      <w:pPr>
        <w:ind w:left="708"/>
      </w:pPr>
    </w:p>
    <w:p w:rsidR="00AA74A0" w:rsidRDefault="00AA74A0" w:rsidP="00AA74A0">
      <w:pPr>
        <w:pStyle w:val="Paragrafoelenco"/>
        <w:numPr>
          <w:ilvl w:val="0"/>
          <w:numId w:val="2"/>
        </w:numPr>
      </w:pPr>
      <w:r>
        <w:t xml:space="preserve">Gestione Riscossione Pene Pecuniarie </w:t>
      </w:r>
    </w:p>
    <w:p w:rsidR="00962422" w:rsidRDefault="00962422" w:rsidP="00C5539B">
      <w:pPr>
        <w:pStyle w:val="Paragrafoelenco"/>
      </w:pPr>
    </w:p>
    <w:p w:rsidR="00C5539B" w:rsidRDefault="00962422" w:rsidP="00C5539B">
      <w:pPr>
        <w:pStyle w:val="Paragrafoelenco"/>
      </w:pPr>
      <w:r>
        <w:t xml:space="preserve">Per la gestione di tutti gli aspetti connessi alla riscossione delle </w:t>
      </w:r>
      <w:proofErr w:type="spellStart"/>
      <w:r>
        <w:t>PenePecuniarie</w:t>
      </w:r>
      <w:proofErr w:type="spellEnd"/>
      <w:r>
        <w:t xml:space="preserve"> si aggiungerà nella parte bassa del menu verticale di SIEP una nuova voce</w:t>
      </w:r>
    </w:p>
    <w:p w:rsidR="00962422" w:rsidRDefault="00962422" w:rsidP="00C5539B">
      <w:pPr>
        <w:pStyle w:val="Paragrafoelenco"/>
      </w:pPr>
    </w:p>
    <w:p w:rsidR="00962422" w:rsidRDefault="00962422" w:rsidP="00C5539B">
      <w:pPr>
        <w:pStyle w:val="Paragrafoelenco"/>
      </w:pPr>
      <w:r>
        <w:rPr>
          <w:noProof/>
          <w:lang w:eastAsia="it-IT"/>
        </w:rPr>
        <w:drawing>
          <wp:inline distT="0" distB="0" distL="0" distR="0" wp14:anchorId="33B89B2D" wp14:editId="02BE2CB2">
            <wp:extent cx="1994002" cy="2279767"/>
            <wp:effectExtent l="0" t="0" r="6350" b="635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4002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22" w:rsidRDefault="00962422" w:rsidP="00C5539B">
      <w:pPr>
        <w:pStyle w:val="Paragrafoelenco"/>
      </w:pPr>
    </w:p>
    <w:p w:rsidR="00962422" w:rsidRDefault="00962422" w:rsidP="00C5539B">
      <w:pPr>
        <w:pStyle w:val="Paragrafoelenco"/>
      </w:pPr>
      <w:r>
        <w:t>Che a sua volta prese</w:t>
      </w:r>
      <w:r w:rsidR="00461B31">
        <w:t>nterà il seguente menu orizzontale</w:t>
      </w:r>
    </w:p>
    <w:p w:rsidR="00461B31" w:rsidRDefault="00461B31" w:rsidP="00C5539B">
      <w:pPr>
        <w:pStyle w:val="Paragrafoelenco"/>
      </w:pPr>
      <w:r>
        <w:rPr>
          <w:noProof/>
          <w:lang w:eastAsia="it-IT"/>
        </w:rPr>
        <w:drawing>
          <wp:inline distT="0" distB="0" distL="0" distR="0" wp14:anchorId="53D122CB" wp14:editId="1930A56F">
            <wp:extent cx="6120130" cy="443865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A0" w:rsidRDefault="00AA74A0" w:rsidP="00AA74A0">
      <w:pPr>
        <w:pStyle w:val="Paragrafoelenco"/>
      </w:pPr>
    </w:p>
    <w:p w:rsidR="00461B31" w:rsidRDefault="00AA74A0" w:rsidP="00AA74A0">
      <w:pPr>
        <w:pStyle w:val="Paragrafoelenco"/>
        <w:rPr>
          <w:highlight w:val="yellow"/>
        </w:rPr>
      </w:pPr>
      <w:r>
        <w:t>2a</w:t>
      </w:r>
      <w:r>
        <w:tab/>
      </w:r>
      <w:r w:rsidRPr="009873BC">
        <w:rPr>
          <w:highlight w:val="yellow"/>
        </w:rPr>
        <w:t xml:space="preserve">Ordine di ingiunzione Pagamento </w:t>
      </w:r>
    </w:p>
    <w:p w:rsidR="00461B31" w:rsidRDefault="00461B31" w:rsidP="00461B31">
      <w:pPr>
        <w:ind w:left="708"/>
      </w:pPr>
      <w:r>
        <w:tab/>
        <w:t xml:space="preserve">La </w:t>
      </w:r>
      <w:r>
        <w:t>funzione consentirà di inserire l’Ordine di ingiunzione</w:t>
      </w:r>
      <w:r>
        <w:t xml:space="preserve"> al pagamento della pena pecuniaria </w:t>
      </w:r>
      <w:r>
        <w:t>al</w:t>
      </w:r>
      <w:r>
        <w:t xml:space="preserve"> Condannato</w:t>
      </w:r>
      <w:r>
        <w:t>, al Civilmente obbl</w:t>
      </w:r>
      <w:r w:rsidR="00496B0A">
        <w:t>igato e ai rispettivi Difensori, verificando che risultino obbligatoriamente già inseriti i dati delle modalità di pagamento</w:t>
      </w:r>
    </w:p>
    <w:p w:rsidR="00496B0A" w:rsidRDefault="00496B0A" w:rsidP="00461B31">
      <w:pPr>
        <w:ind w:left="708"/>
      </w:pPr>
      <w:r>
        <w:rPr>
          <w:noProof/>
          <w:lang w:eastAsia="it-IT"/>
        </w:rPr>
        <w:lastRenderedPageBreak/>
        <w:drawing>
          <wp:inline distT="0" distB="0" distL="0" distR="0" wp14:anchorId="2B441146" wp14:editId="134D68FD">
            <wp:extent cx="6120130" cy="3594735"/>
            <wp:effectExtent l="0" t="0" r="0" b="571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B0A" w:rsidRDefault="00496B0A" w:rsidP="00461B31">
      <w:pPr>
        <w:ind w:left="708"/>
        <w:rPr>
          <w:noProof/>
          <w:lang w:eastAsia="it-IT"/>
        </w:rPr>
      </w:pPr>
      <w:r>
        <w:rPr>
          <w:noProof/>
          <w:lang w:eastAsia="it-IT"/>
        </w:rPr>
        <w:t>La form presenta i dati di dettaglio delle modalità di pagamento, dando la possibilità di accedere alla form di modifica degli stessi, lo specifico link, e i dati del Civilmente Obbligato, se presente, dando la possibilità di inserirlo o modificarlo, selezionando l’apposito link.</w:t>
      </w:r>
    </w:p>
    <w:p w:rsidR="00461B31" w:rsidRDefault="00496B0A" w:rsidP="00461B31">
      <w:pPr>
        <w:ind w:left="708"/>
        <w:rPr>
          <w:noProof/>
          <w:lang w:eastAsia="it-IT"/>
        </w:rPr>
      </w:pPr>
      <w:r>
        <w:rPr>
          <w:noProof/>
          <w:lang w:eastAsia="it-IT"/>
        </w:rPr>
        <w:t>A seguito della completa compilazione dei campi della form e della relativa Conferma, il sistema inserisce un Ordine Esecuzione di Ingiunzione al pagamento e presenta la form di Dettaglio</w:t>
      </w:r>
    </w:p>
    <w:p w:rsidR="00C7155C" w:rsidRDefault="00C7155C" w:rsidP="00461B31">
      <w:pPr>
        <w:ind w:left="708"/>
      </w:pPr>
      <w:r>
        <w:rPr>
          <w:noProof/>
          <w:lang w:eastAsia="it-IT"/>
        </w:rPr>
        <w:drawing>
          <wp:inline distT="0" distB="0" distL="0" distR="0" wp14:anchorId="0B5FAF49" wp14:editId="08320F91">
            <wp:extent cx="6120130" cy="415417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31" w:rsidRDefault="00C7155C" w:rsidP="00C7155C">
      <w:pPr>
        <w:ind w:left="708"/>
        <w:jc w:val="both"/>
      </w:pPr>
      <w:r>
        <w:lastRenderedPageBreak/>
        <w:t xml:space="preserve">Da cui sarà </w:t>
      </w:r>
      <w:proofErr w:type="gramStart"/>
      <w:r>
        <w:t>possibile  inoltrare</w:t>
      </w:r>
      <w:proofErr w:type="gramEnd"/>
      <w:r>
        <w:t xml:space="preserve"> la Richiesta dei bollettini di  pagamento a </w:t>
      </w:r>
      <w:proofErr w:type="spellStart"/>
      <w:r w:rsidRPr="00C7155C">
        <w:rPr>
          <w:b/>
        </w:rPr>
        <w:t>pagoPA</w:t>
      </w:r>
      <w:proofErr w:type="spellEnd"/>
      <w:r>
        <w:rPr>
          <w:b/>
        </w:rPr>
        <w:t>, cliccando sullo specifico link,</w:t>
      </w:r>
      <w:r>
        <w:t xml:space="preserve"> che aprirà una popup con la richiesta e rimarrà in attesa della risposta. All’arrivo della risposta l’utente la selezionerà, il sistema </w:t>
      </w:r>
      <w:proofErr w:type="spellStart"/>
      <w:r>
        <w:t>provvederrà</w:t>
      </w:r>
      <w:proofErr w:type="spellEnd"/>
      <w:r>
        <w:t xml:space="preserve"> ad importare i bollettini nella base dati associandoli al procedimento e all’atto</w:t>
      </w:r>
      <w:r w:rsidR="008B28B9">
        <w:t>.</w:t>
      </w:r>
    </w:p>
    <w:p w:rsidR="008B28B9" w:rsidRDefault="008B28B9" w:rsidP="00C7155C">
      <w:pPr>
        <w:ind w:left="708"/>
        <w:jc w:val="both"/>
      </w:pPr>
      <w:r>
        <w:t>Solo dopo la ricezione dei bollettini di pagamento sarà possibile a procedere alla stampa dell’Ordine di Ingiunzione al Pagamento, in unica soluzione o rateizzato, e dei relativi bollettini, e procedere alla validazione del provvedimento.</w:t>
      </w:r>
    </w:p>
    <w:p w:rsidR="008B28B9" w:rsidRDefault="008B28B9" w:rsidP="00C7155C">
      <w:pPr>
        <w:ind w:left="708"/>
        <w:jc w:val="both"/>
      </w:pPr>
      <w:r>
        <w:t>Il nuovo provvedimento sarà riportato nell’Elenco Provvedimenti del PM</w:t>
      </w:r>
    </w:p>
    <w:p w:rsidR="008B28B9" w:rsidRPr="00C7155C" w:rsidRDefault="008B28B9" w:rsidP="00C7155C">
      <w:pPr>
        <w:ind w:left="708"/>
        <w:jc w:val="both"/>
        <w:rPr>
          <w:highlight w:val="yellow"/>
        </w:rPr>
      </w:pPr>
      <w:r>
        <w:rPr>
          <w:noProof/>
          <w:lang w:eastAsia="it-IT"/>
        </w:rPr>
        <w:drawing>
          <wp:inline distT="0" distB="0" distL="0" distR="0" wp14:anchorId="564D1B55" wp14:editId="6B531F6F">
            <wp:extent cx="6120130" cy="136017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A0" w:rsidRDefault="00AA74A0" w:rsidP="00AA74A0">
      <w:pPr>
        <w:pStyle w:val="Paragrafoelenco"/>
      </w:pPr>
      <w:r>
        <w:t>2b</w:t>
      </w:r>
      <w:r>
        <w:tab/>
        <w:t>Gestione Ordine Ingiunzione</w:t>
      </w:r>
    </w:p>
    <w:p w:rsidR="008B28B9" w:rsidRDefault="008B28B9" w:rsidP="00AA74A0">
      <w:pPr>
        <w:pStyle w:val="Paragrafoelenco"/>
      </w:pPr>
      <w:r>
        <w:tab/>
      </w:r>
    </w:p>
    <w:p w:rsidR="008B28B9" w:rsidRDefault="008B28B9" w:rsidP="00AA74A0">
      <w:pPr>
        <w:pStyle w:val="Paragrafoelenco"/>
      </w:pPr>
      <w:r>
        <w:tab/>
        <w:t xml:space="preserve">Selezionando la voce di menu </w:t>
      </w:r>
      <w:r>
        <w:t>Gestione Ordine Ingiunzione</w:t>
      </w:r>
      <w:r w:rsidR="004A76C7">
        <w:t xml:space="preserve">, il sistema presenterà la seguente </w:t>
      </w:r>
      <w:proofErr w:type="spellStart"/>
      <w:r w:rsidR="004A76C7">
        <w:t>form</w:t>
      </w:r>
      <w:proofErr w:type="spellEnd"/>
    </w:p>
    <w:p w:rsidR="004A76C7" w:rsidRDefault="004A76C7" w:rsidP="00AA74A0">
      <w:pPr>
        <w:pStyle w:val="Paragrafoelenco"/>
      </w:pPr>
    </w:p>
    <w:p w:rsidR="004A76C7" w:rsidRDefault="004A76C7" w:rsidP="00AA74A0">
      <w:pPr>
        <w:pStyle w:val="Paragrafoelenco"/>
      </w:pPr>
      <w:r>
        <w:rPr>
          <w:noProof/>
          <w:lang w:eastAsia="it-IT"/>
        </w:rPr>
        <w:drawing>
          <wp:inline distT="0" distB="0" distL="0" distR="0" wp14:anchorId="661D7FD1" wp14:editId="14BD5E5A">
            <wp:extent cx="6120130" cy="7874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C7" w:rsidRDefault="004A76C7" w:rsidP="00AA74A0">
      <w:pPr>
        <w:pStyle w:val="Paragrafoelenco"/>
      </w:pPr>
    </w:p>
    <w:p w:rsidR="000037B1" w:rsidRDefault="004A76C7" w:rsidP="004A76C7">
      <w:r>
        <w:tab/>
      </w:r>
      <w:r w:rsidRPr="007468B1">
        <w:rPr>
          <w:highlight w:val="yellow"/>
        </w:rPr>
        <w:t>In questa MEV sarà realizzata solo la funzione di Notifica</w:t>
      </w:r>
      <w:r>
        <w:t xml:space="preserve"> che permetterà di far scattare gli scadenzari e che provvederà ad annotare nella base dati SIES le date di scadenza dei singoli bollettini.</w:t>
      </w:r>
    </w:p>
    <w:p w:rsidR="000037B1" w:rsidRDefault="000037B1" w:rsidP="000037B1">
      <w:r>
        <w:tab/>
        <w:t>2c</w:t>
      </w:r>
      <w:r>
        <w:tab/>
        <w:t xml:space="preserve">Gestione Bollettini </w:t>
      </w:r>
      <w:proofErr w:type="spellStart"/>
      <w:r>
        <w:t>PagoPA</w:t>
      </w:r>
      <w:proofErr w:type="spellEnd"/>
    </w:p>
    <w:p w:rsidR="004A76C7" w:rsidRDefault="004A76C7" w:rsidP="000037B1">
      <w:r>
        <w:tab/>
      </w:r>
      <w:r>
        <w:tab/>
      </w:r>
      <w:r>
        <w:t xml:space="preserve">Selezionando la voce di menu Gestione Ordine Ingiunzione, il sistema presenterà la seguente </w:t>
      </w:r>
      <w:proofErr w:type="spellStart"/>
      <w:r>
        <w:t>form</w:t>
      </w:r>
      <w:proofErr w:type="spellEnd"/>
    </w:p>
    <w:p w:rsidR="004A76C7" w:rsidRDefault="004A76C7" w:rsidP="004A76C7">
      <w:pPr>
        <w:ind w:left="708"/>
      </w:pPr>
      <w:r>
        <w:tab/>
      </w:r>
      <w:r>
        <w:rPr>
          <w:noProof/>
          <w:lang w:eastAsia="it-IT"/>
        </w:rPr>
        <w:drawing>
          <wp:inline distT="0" distB="0" distL="0" distR="0" wp14:anchorId="69AD1B61" wp14:editId="7F5688ED">
            <wp:extent cx="6120130" cy="78232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C7" w:rsidRDefault="004A76C7" w:rsidP="004A76C7">
      <w:pPr>
        <w:ind w:left="708"/>
      </w:pPr>
    </w:p>
    <w:p w:rsidR="000037B1" w:rsidRDefault="004A76C7" w:rsidP="0049358B">
      <w:pPr>
        <w:ind w:left="708"/>
      </w:pPr>
      <w:r w:rsidRPr="007468B1">
        <w:rPr>
          <w:highlight w:val="yellow"/>
        </w:rPr>
        <w:t xml:space="preserve">In </w:t>
      </w:r>
      <w:r w:rsidRPr="007468B1">
        <w:rPr>
          <w:highlight w:val="yellow"/>
        </w:rPr>
        <w:t>questa MEV saranno</w:t>
      </w:r>
      <w:r w:rsidRPr="007468B1">
        <w:rPr>
          <w:highlight w:val="yellow"/>
        </w:rPr>
        <w:t xml:space="preserve"> </w:t>
      </w:r>
      <w:r w:rsidR="0049358B" w:rsidRPr="007468B1">
        <w:rPr>
          <w:highlight w:val="yellow"/>
        </w:rPr>
        <w:t>realizzate solo le funzioni Richiesta Bollettini, Verifica Stato Pagamenti, Annotazione Avvenuto Pagamento.</w:t>
      </w:r>
    </w:p>
    <w:p w:rsidR="000037B1" w:rsidRDefault="000037B1" w:rsidP="000037B1">
      <w:r>
        <w:tab/>
        <w:t>2d</w:t>
      </w:r>
      <w:r>
        <w:tab/>
      </w:r>
      <w:r w:rsidRPr="007468B1">
        <w:t>Scadenzari</w:t>
      </w:r>
      <w:r w:rsidR="007468B1">
        <w:t xml:space="preserve"> – </w:t>
      </w:r>
      <w:r w:rsidR="007468B1" w:rsidRPr="007468B1">
        <w:rPr>
          <w:highlight w:val="yellow"/>
        </w:rPr>
        <w:t>in questa MEV solo Bollettini in scadenza entro tot n.ro giorni</w:t>
      </w:r>
      <w:bookmarkStart w:id="0" w:name="_GoBack"/>
      <w:bookmarkEnd w:id="0"/>
    </w:p>
    <w:p w:rsidR="000037B1" w:rsidRDefault="000037B1" w:rsidP="000037B1">
      <w:pPr>
        <w:ind w:left="708" w:hanging="708"/>
      </w:pPr>
      <w:r>
        <w:tab/>
        <w:t>2e</w:t>
      </w:r>
      <w:r>
        <w:tab/>
        <w:t xml:space="preserve">Conversione Pene Pecuniarie (richiamo delle attuali funzionalità disponibili in Gestione   </w:t>
      </w:r>
    </w:p>
    <w:p w:rsidR="00AA74A0" w:rsidRDefault="000037B1" w:rsidP="000037B1">
      <w:pPr>
        <w:ind w:left="708" w:hanging="708"/>
      </w:pPr>
      <w:r>
        <w:lastRenderedPageBreak/>
        <w:t xml:space="preserve">                            Altre Sanzioni, che dovranno essere aggiornate per la gestione </w:t>
      </w:r>
      <w:r w:rsidR="009873BC">
        <w:t xml:space="preserve">anche del Lavoro Pubblica </w:t>
      </w:r>
      <w:r w:rsidR="009873BC">
        <w:tab/>
        <w:t>utilità)</w:t>
      </w:r>
      <w:r w:rsidR="00AA74A0">
        <w:tab/>
      </w:r>
    </w:p>
    <w:p w:rsidR="00AA74A0" w:rsidRDefault="00AA74A0" w:rsidP="00AA74A0"/>
    <w:p w:rsidR="00543A63" w:rsidRDefault="00543A63" w:rsidP="00AA74A0">
      <w:r w:rsidRPr="00543A63">
        <w:rPr>
          <w:highlight w:val="yellow"/>
        </w:rPr>
        <w:t xml:space="preserve">Realizzazione infrastruttura, web </w:t>
      </w:r>
      <w:proofErr w:type="spellStart"/>
      <w:r w:rsidRPr="00543A63">
        <w:rPr>
          <w:highlight w:val="yellow"/>
        </w:rPr>
        <w:t>services</w:t>
      </w:r>
      <w:proofErr w:type="spellEnd"/>
      <w:r w:rsidRPr="00543A63">
        <w:rPr>
          <w:highlight w:val="yellow"/>
        </w:rPr>
        <w:t xml:space="preserve"> e quant’altro.</w:t>
      </w:r>
    </w:p>
    <w:sectPr w:rsidR="00543A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210D3"/>
    <w:multiLevelType w:val="hybridMultilevel"/>
    <w:tmpl w:val="9E686396"/>
    <w:lvl w:ilvl="0" w:tplc="716247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A3A67"/>
    <w:multiLevelType w:val="hybridMultilevel"/>
    <w:tmpl w:val="EF06628C"/>
    <w:lvl w:ilvl="0" w:tplc="42681110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74316DE"/>
    <w:multiLevelType w:val="hybridMultilevel"/>
    <w:tmpl w:val="259AC7D4"/>
    <w:lvl w:ilvl="0" w:tplc="E07CA7F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31D53"/>
    <w:multiLevelType w:val="hybridMultilevel"/>
    <w:tmpl w:val="6770997A"/>
    <w:lvl w:ilvl="0" w:tplc="DF86CB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C779A"/>
    <w:multiLevelType w:val="hybridMultilevel"/>
    <w:tmpl w:val="39E67B48"/>
    <w:lvl w:ilvl="0" w:tplc="48FEBEB8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5F1E4DFA"/>
    <w:multiLevelType w:val="hybridMultilevel"/>
    <w:tmpl w:val="F24AB862"/>
    <w:lvl w:ilvl="0" w:tplc="B8AAFC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D98"/>
    <w:rsid w:val="000037B1"/>
    <w:rsid w:val="0006740B"/>
    <w:rsid w:val="0008101C"/>
    <w:rsid w:val="00180D0F"/>
    <w:rsid w:val="00352F9B"/>
    <w:rsid w:val="003643EB"/>
    <w:rsid w:val="00446883"/>
    <w:rsid w:val="00461B31"/>
    <w:rsid w:val="0049358B"/>
    <w:rsid w:val="00496B0A"/>
    <w:rsid w:val="004A76C7"/>
    <w:rsid w:val="00525569"/>
    <w:rsid w:val="00543A63"/>
    <w:rsid w:val="00657DCD"/>
    <w:rsid w:val="007468B1"/>
    <w:rsid w:val="007540D6"/>
    <w:rsid w:val="007D21D5"/>
    <w:rsid w:val="008B28B9"/>
    <w:rsid w:val="00962422"/>
    <w:rsid w:val="009873BC"/>
    <w:rsid w:val="00AA74A0"/>
    <w:rsid w:val="00C5539B"/>
    <w:rsid w:val="00C7155C"/>
    <w:rsid w:val="00CC6ACD"/>
    <w:rsid w:val="00CE5E59"/>
    <w:rsid w:val="00EA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1047"/>
  <w15:chartTrackingRefBased/>
  <w15:docId w15:val="{C102887E-D685-4FC3-8A0C-F469AF9E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A0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7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U.M</cp:lastModifiedBy>
  <cp:revision>3</cp:revision>
  <dcterms:created xsi:type="dcterms:W3CDTF">2023-02-28T16:47:00Z</dcterms:created>
  <dcterms:modified xsi:type="dcterms:W3CDTF">2023-02-28T22:18:00Z</dcterms:modified>
</cp:coreProperties>
</file>