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w:t>
      </w:r>
    </w:p>
    <w:p>
      <w:pPr>
        <w:pStyle w:val="Heading2"/>
      </w:pPr>
      <w:r>
        <w:t>Chapter 6 – Harmonic Geometry and Harmonic Scale</w:t>
      </w:r>
    </w:p>
    <w:p>
      <w:r>
        <w:rPr>
          <w:b/>
        </w:rPr>
        <w:t xml:space="preserve">Editorial note. </w:t>
      </w:r>
      <w:r>
        <w:t>This chapter combines established mathematical concepts with the author's proposed interpretive framework. Established identities are identified as such; interpretations within the Universal Harmonic Theory are presented as hypotheses for future development.</w:t>
      </w:r>
    </w:p>
    <w:p>
      <w:pPr>
        <w:pStyle w:val="Heading3"/>
      </w:pPr>
      <w:r>
        <w:t>6.1 Introduction</w:t>
      </w:r>
    </w:p>
    <w:p>
      <w:r>
        <w:t>The Universal Harmonic Theory proposes that geometry is not merely a description of physical location but a description of harmonic relationships. Within this framework, geometric structure emerges from coherent harmonic organisation rather than existing independently of it.</w:t>
      </w:r>
    </w:p>
    <w:p>
      <w:pPr>
        <w:pStyle w:val="Heading3"/>
      </w:pPr>
      <w:r>
        <w:t>6.2 Harmonic Geometry</w:t>
      </w:r>
    </w:p>
    <w:p>
      <w:r>
        <w:t>Harmonic geometry is proposed as the relational organisation of coherent systems. Planar, spherical and distributed harmonic domains are interpreted as different manifestations of the same underlying harmonic organisation.</w:t>
      </w:r>
    </w:p>
    <w:p>
      <w:pPr>
        <w:pStyle w:val="Heading3"/>
      </w:pPr>
      <w:r>
        <w:t>6.3 Harmonic Scale</w:t>
      </w:r>
    </w:p>
    <w:p>
      <w:r>
        <w:t>Macroscopic and microscopic phenomena are interpreted as different expressions of a common harmonic architecture. Scale therefore reflects differences in harmonic organisation rather than differences in fundamental principle.</w:t>
      </w:r>
    </w:p>
    <w:p>
      <w:pPr>
        <w:pStyle w:val="Heading3"/>
      </w:pPr>
      <w:r>
        <w:t>6.4 The Classical Means as a Model for Harmonic Equilibrium</w:t>
      </w:r>
    </w:p>
    <w:p>
      <w:r>
        <w:t>The arithmetic, geometric and harmonic means form the three classical Pythagorean means. Their mathematical identity is well established:</w:t>
        <w:br/>
        <w:br/>
        <w:t>AM × HM = GM².</w:t>
        <w:br/>
        <w:br/>
        <w:t>Within Universal Harmonic Theory this identity is interpreted as a conceptual analogue for harmonic equilibrium. The geometric mean occupies the balancing position between the arithmetic and harmonic means, suggesting an interpretive correspondence with the equilibrium state represented symbolically by ZNY. This interpretation is an original hypothesis of the framework rather than a theorem of physics.</w:t>
      </w:r>
    </w:p>
    <w:p>
      <w:pPr>
        <w:pStyle w:val="Heading3"/>
      </w:pPr>
      <w:r>
        <w:t>6.5 The C:G Harmonic Relationship</w:t>
      </w:r>
    </w:p>
    <w:p>
      <w:r>
        <w:t>The theory further proposes that the consonant C:G relationship (a perfect fifth in just intonation) serves as a conceptual resonance model for coherent harmonic balance. This proposal does not follow from the classical means mathematically; rather, it is introduced as an interpretive bridge between musical harmony and the broader harmonic architecture proposed by the theory.</w:t>
      </w:r>
    </w:p>
    <w:p>
      <w:pPr>
        <w:pStyle w:val="Heading3"/>
      </w:pPr>
      <w:r>
        <w:t>6.6 Conceptual Correspondence</w:t>
      </w:r>
    </w:p>
    <w:p>
      <w:r>
        <w:t>Proposed conceptual mapping:</w:t>
        <w:br/>
        <w:br/>
        <w:t>Arithmetic Mean → Divergent harmonic organisation</w:t>
        <w:br/>
        <w:t>Geometric Mean → Dynamic harmonic balance</w:t>
        <w:br/>
        <w:t>Harmonic Mean → Resonant coherence</w:t>
        <w:br/>
        <w:t>AM × HM = GM² → Conceptual model of harmonic equilibrium</w:t>
        <w:br/>
        <w:t>C:G → Proposed resonance analogue</w:t>
      </w:r>
    </w:p>
    <w:p>
      <w:pPr>
        <w:pStyle w:val="Heading3"/>
      </w:pPr>
      <w:r>
        <w:t>6.7 Discussion</w:t>
      </w:r>
    </w:p>
    <w:p>
      <w:r>
        <w:t>This section establishes a recurring theme for the remainder of the manuscript: established mathematical structures may provide conceptual guidance for the development of the Universal Harmonic Theory, while the theory's physical interpretations remain hypotheses requiring rigorous mathematical formulation and empirical investigation.</w:t>
      </w:r>
    </w:p>
    <w:p>
      <w:pPr>
        <w:pStyle w:val="Heading3"/>
      </w:pPr>
      <w:r>
        <w:t>6.8 Transition</w:t>
      </w:r>
    </w:p>
    <w:p>
      <w:r>
        <w:t>The following chapter develops scatter-field propagation as a proposed mechanism through which harmonic relationships redistribute while coherent identity is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