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Chapter 10 Addition – Harmonic Gravitational Waveform Polarisation (Hypothetical Framework)</w:t>
      </w:r>
    </w:p>
    <w:p>
      <w:r>
        <w:t>Editorial note: This chapter presents a proposed mechanism within Universal Harmonic Theory. It is an original theoretical hypothesis and should be distinguished from established descriptions of gravitation, quantum field theory, and gravitational waves.</w:t>
      </w:r>
    </w:p>
    <w:p>
      <w:pPr>
        <w:pStyle w:val="Heading3"/>
      </w:pPr>
      <w:r>
        <w:t>10.X Harmonic Waveform Polarity</w:t>
      </w:r>
    </w:p>
    <w:p>
      <w:r>
        <w:t>Within this framework, polarity is interpreted as a property of harmonic waveform dynamics rather than a static separation of positive and negative states. The complementary quantities ZNE and ZNY are proposed to represent phase-dependent components of a unified harmonic cycle.</w:t>
      </w:r>
    </w:p>
    <w:p>
      <w:r>
        <w:t>During the compression phase, ZNE represents the proposed energetic harmonic component associated with increasing local harmonic energy density. During the complementary yield phase, ZNY represents the proposed structural harmonic component associated with coherent localisation and harmonic equilibrium. The theory proposes that these components remain continuously coupled through the Universal Harmonic.</w:t>
      </w:r>
    </w:p>
    <w:p>
      <w:pPr>
        <w:pStyle w:val="Heading3"/>
      </w:pPr>
      <w:r>
        <w:t>10.X.1 Harmonic Balance Nodes</w:t>
      </w:r>
    </w:p>
    <w:p>
      <w:r>
        <w:t>The harmonic balance nodes are proposed to occur where the complementary phases satisfy the C:G resonance condition. These nodes are interpreted as states of maximum harmonic coherence in which the energetic and structural components remain in dynamic equilibrium.</w:t>
      </w:r>
    </w:p>
    <w:p>
      <w:r>
        <w:t>Conceptual relationships:</w:t>
        <w:br/>
        <w:br/>
        <w:t>H(t) = [ZNE(t), ZNY(t)]</w:t>
        <w:br/>
        <w:t>ZNE ↔(C:G) ZNY</w:t>
        <w:br/>
        <w:t>H(ZNE, ZNY; c, G) = 0</w:t>
        <w:br/>
        <w:br/>
        <w:t>Within the proposed framework, c is interpreted as the characteristic propagation parameter of the energetic component, while G is interpreted as the characteristic parameter associated with coherent gravitational localisation.</w:t>
      </w:r>
    </w:p>
    <w:p>
      <w:pPr>
        <w:pStyle w:val="Heading3"/>
      </w:pPr>
      <w:r>
        <w:t>10.X.2 Field Dynamics</w:t>
      </w:r>
    </w:p>
    <w:p>
      <w:r>
        <w:t>Universal Harmonic Theory proposes that gravitation may be interpreted as an emergent manifestation of coherent harmonic equilibrium rather than solely as a consequence of static mass distribution. If the proposed harmonic phase relationship between ZNE and ZNY could be manipulated, the framework predicts corresponding changes in the resulting harmonic equilibrium. Whether such effects exist would require mathematical development and independent experimental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