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16 Supplement – Emergent Co-location Through Harmonic Temporal Dilation</w:t>
      </w:r>
    </w:p>
    <w:p>
      <w:r>
        <w:rPr>
          <w:b/>
        </w:rPr>
        <w:t>Author's theoretical framework</w:t>
        <w:br/>
        <w:br/>
      </w:r>
      <w:r>
        <w:t>This supplement presents a speculative extension to Universal Harmonic Theory. It proposes that co-location emerges through harmonic temporal dilation rather than conventional motion through space. The object is hypothesised to retain complete structural continuity during a harmonic scatter-field event.</w:t>
        <w:br/>
        <w:br/>
        <w:t>The proposed sequence consists of:</w:t>
        <w:br/>
        <w:t>• Harmonic temporal dilation.</w:t>
        <w:br/>
        <w:t>• Harmonic temporal refraction.</w:t>
        <w:br/>
        <w:t>• Scatter-field propagation.</w:t>
        <w:br/>
        <w:t>• Harmonic reintegration.</w:t>
        <w:br/>
        <w:br/>
        <w:t>Within this framework, gravitational waves and localised gravitational fields are not proposed to distort the internal structure of the object. Instead, they contribute to the surrounding harmonic environment and act as an external coupling or 'pull factor' influencing the transition while preserving harmonic coherence.</w:t>
        <w:br/>
        <w:br/>
        <w:t>Conceptually:</w:t>
        <w:br/>
        <w:br/>
        <w:t>H = Z + E</w:t>
        <w:br/>
        <w:br/>
        <w:t>where Z represents harmonic equilibrium and E represents the emergent harmonic interaction with the surrounding field.</w:t>
        <w:br/>
        <w:br/>
        <w:t>The conserved identity of the object is represented conceptually by:</w:t>
        <w:br/>
        <w:br/>
        <w:t>I(H1) = I(H2)</w:t>
        <w:br/>
        <w:br/>
        <w:t>where I denotes structural identity and H1 and H2 are harmonic states before and after the transition. In this model, apparent displacement is interpreted as harmonic reconfiguration rather than continuous transport through intervening space. The object remains a coherent whole across atomic, sub-atomic, quantum and quantum-vacuum scales throughout the proposed transition.</w:t>
        <w:br/>
        <w:br/>
        <w:t>Note: This chapter describes a proposed mechanism within Universal Harmonic Theory and should be distinguished from established physical theories.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