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 – Volume I</w:t>
      </w:r>
    </w:p>
    <w:p>
      <w:pPr>
        <w:pStyle w:val="Heading2"/>
      </w:pPr>
      <w:r>
        <w:t>Chapter 8 Addition – Coherent Rotational Harmonic Resonance (Hypothetical Framework)</w:t>
      </w:r>
    </w:p>
    <w:p>
      <w:r>
        <w:rPr>
          <w:b/>
        </w:rPr>
        <w:t>Author's theoretical framework</w:t>
        <w:br/>
        <w:br/>
      </w:r>
      <w:r>
        <w:t>This section presents a speculative extension to Universal Harmonic Theory. It describes a proposed mechanism rather than an experimentally established physical phenomenon.</w:t>
        <w:br/>
        <w:br/>
        <w:t>Within this framework, a sufficiently coherent harmonic structure is proposed to generate a uniform rotational field. The rotation is interpreted as a coherent rotation of the underlying harmonic equilibrium rather than the mechanical rotation of the material.</w:t>
        <w:br/>
        <w:br/>
        <w:t>The theory hypothesises that, once a critical level of coherence is achieved, the collective harmonic state produces a localised reduction in the effective gravitational interaction. This is proposed to arise through harmonic balance within the structure while preserving structural continuity.</w:t>
        <w:br/>
        <w:br/>
        <w:t>The framework further proposes that the coherent harmonic state emits electromagnetic radiation across a broad spectral range. Unlike conventional thermal emission, this radiation is hypothesised to arise from coherent harmonic resonance. The emission is proposed to remain phase-coherent with the harmonic field, extend across multiple wavelengths, remain substantially contained within the surrounding harmonic structure, and become optically observable when harmonic coherence exceeds a critical threshold.</w:t>
        <w:br/>
        <w:br/>
        <w:t>Conceptual relationship:</w:t>
        <w:br/>
        <w:br/>
        <w:t>Hc → Rc → Se</w:t>
        <w:br/>
        <w:br/>
        <w:t>where Hc represents the coherent harmonic state, Rc the coherent rotational harmonic equilibrium, and Se the resulting spectral emission.</w:t>
        <w:br/>
        <w:br/>
        <w:t>Within this theoretical model, the observed spectrum is interpreted as a manifestation of the resonant harmonic configuration of the complete structure rather than solely a consequence of thermal excitation. Visible light is therefore proposed to represent one component of a broader harmonic spectral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