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8 Addition – Harmonic Structural Geometry of Metallic Matter (Hypothetical Framework)</w:t>
      </w:r>
    </w:p>
    <w:p>
      <w:r>
        <w:rPr>
          <w:b/>
        </w:rPr>
        <w:t>Author's theoretical framework</w:t>
        <w:br/>
        <w:br/>
      </w:r>
      <w:r>
        <w:t>This chapter addition develops a proposed mechanism within Universal Harmonic Theory. It is presented as a theoretical hypothesis rather than an established scientific description.</w:t>
        <w:br/>
        <w:br/>
        <w:t>Within this framework, every stable metallic structure is proposed to possess an underlying harmonic geometry extending from the atomic, sub-atomic, quantum, and quantum-vacuum (QV) domains. The theory hypothesises that the fundamental harmonic component exhibits an intrinsic spherical equilibrium. This spherical equilibrium is interpreted as a harmonic state rather than the macroscopic geometry of the material.</w:t>
        <w:br/>
        <w:br/>
        <w:t>Each constituent is proposed to remain harmonically integrated within the stable elemental lattice, preserving structural coherence while participating in the collective harmonic field. The term 'harmonically integrated' is used to describe the proposed coherent relationship between constituents without implying conventional fusion.</w:t>
        <w:br/>
        <w:br/>
        <w:t>The angular orientation of the harmonic structure is proposed to be predominantly planar while remaining influenced by the surrounding local gravitational environment. Within this hypothesis, gravity contributes to the orientation of the harmonic state without distorting the intrinsic spherical equilibrium.</w:t>
        <w:br/>
        <w:br/>
        <w:t>Localised magnetic fields are further proposed to introduce an interference pattern within the surrounding harmonic field. Rather than creating polarity directly, the magnetic interaction is hypothesised to modify the observable harmonic response, producing an apparent polarity-dependent wavelength or resonance signature.</w:t>
        <w:br/>
        <w:br/>
        <w:t>Conceptual relationship:</w:t>
        <w:br/>
        <w:br/>
        <w:t>H = Hs + Gl + Mi</w:t>
        <w:br/>
        <w:br/>
        <w:t>where H denotes the total harmonic state, Hs the intrinsic spherical harmonic equilibrium, Gl the influence of the local gravitational environment, and Mi the magnetic interaction within the surrounding harmonic field.</w:t>
        <w:br/>
        <w:br/>
        <w:t>Within this framework, the observable behaviour of matter is proposed to emerge from the combined interaction of these components while preserving harmonic identity across atomic, sub-atomic, quantum, and quantum-vacuum scales.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