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Addition: Field Polarisation and Gravitational Localisation</w:t>
      </w:r>
    </w:p>
    <w:p>
      <w:r>
        <w:t>Within Universal Harmonic Theory, the harmonic chamber is proposed to generate a coherent scatter-field whose natural geometry is spherical. The field is not perfectly isotropic; instead, it undergoes continuous harmonic polarisation arising from its interaction with the surrounding gravitational environment. Consequently, the chamber forms a dynamically balanced sphere whose geometry is locally distorted by gravitational-wave effects while remaining globally coherent.</w:t>
        <w:br/>
        <w:br/>
        <w:t>The equilibrium of this field is maintained through the interaction of three proposed principles:</w:t>
        <w:br/>
        <w:t>• ZNE (Zero Neutral Equilibrium) establishes the primary harmonic reference state from which coherent field organisation emerges.</w:t>
        <w:br/>
        <w:t>• ZNY governs the continuous dynamic balancing of opposing harmonic components, preserving stability as the field evolves.</w:t>
        <w:br/>
        <w:t>• The C &amp; G Harmonic Balance provides the coherent resonant coupling that maintains structural integrity and harmonic synchronisation throughout the chamber.</w:t>
        <w:br/>
        <w:br/>
        <w:t>Within this proposed framework, gravitational influence is not eliminated but harmonically redistributed through field polarisation. The chamber therefore becomes gravitationally localised, with the surrounding gravitational environment proposed to be partially deflected through harmonic equilibrium rather than opposed by conventional force. The resulting field remains approximately spherical, although its geometry is continuously modulated by external gravitational-wave interactions and local harmonic perturbations.</w:t>
        <w:br/>
        <w:br/>
        <w:t>This gravitationally localised, polarised harmonic environment forms the proposed basis for scatter-field propagation, allowing matter and energy to remain harmonically coherent while interacting with a dynamically balanced field governed by ZNE, ZNY, and the C &amp; G harmonic balance. Within Universal Harmonic Theory, this mechanism is presented as a theoretical foundation for harmonic field engineering and the controlled manipulation of harmonic equilibrium.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