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Addition: Harmonic Frequency and Phase Coherence</w:t>
      </w:r>
    </w:p>
    <w:p>
      <w:r>
        <w:rPr>
          <w:b/>
        </w:rPr>
        <w:t>Proposed Framework</w:t>
        <w:br/>
      </w:r>
      <w:r>
        <w:t>Within Universal Harmonic Theory, frequency is proposed as the fundamental physical quantity from which both mass and energy emerge. Mass and energy are therefore interpreted not as independent entities, but as interchangeable manifestations of coherent harmonic frequency.</w:t>
        <w:br/>
        <w:br/>
        <w:t>Stable physical structure arises through phase coherence within the Universal Harmonic, establishing the spatial boundaries that define observable matter. This coherence is maintained through the interaction of:</w:t>
        <w:br/>
        <w:br/>
        <w:t>• ZNE (Zero Neutral Equilibrium) – the fundamental harmonic reference state.</w:t>
        <w:br/>
        <w:t>• ZNY – the dynamic equilibrium governing harmonic balance and continuous field stability.</w:t>
        <w:br/>
        <w:t>• The C &amp; G Harmonic Balance – the coherent resonant coupling that preserves structural integrity across the field.</w:t>
        <w:br/>
        <w:br/>
        <w:t>Accordingly, Universal Harmonic Theory proposes that angular frequency is a primary property of the harmonic field rather than a quantity derived from inertial mass. Observable mass, energy, and spatial localisation are hypothesised to emerge from stable harmonic phase coherence maintained by the coupled action of ZNE, ZNY, and the C &amp; G harmonic balance within the Universal Harmonic.</w:t>
        <w:br/>
        <w:br/>
        <w:t>This chapter presents these statements as theoretical postulates of Universal Harmonic Theory, intended to motivate further mathematical development and empirical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