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20</w:t>
      </w:r>
    </w:p>
    <w:p>
      <w:pPr>
        <w:jc w:val="center"/>
      </w:pPr>
      <w:r>
        <w:rPr>
          <w:b/>
          <w:sz w:val="32"/>
        </w:rPr>
        <w:t>Factual Disassociation, Matter Dispersal and Harmonic Re-Association</w:t>
      </w:r>
    </w:p>
    <w:p>
      <w:r>
        <w:rPr>
          <w:b/>
        </w:rPr>
        <w:t xml:space="preserve">Status of the derivation. </w:t>
      </w:r>
      <w:r>
        <w:t>The construction below is a mathematically consistent candidate model. It is not derived from established physics and does not demonstrate that ZNE, ZNY or C-G harmonic balance are physical laws. It converts the proposed concepts into explicit assumptions that can, in principle, be tested or rejected.</w:t>
      </w:r>
    </w:p>
    <w:p>
      <w:pPr>
        <w:pStyle w:val="Heading2"/>
      </w:pPr>
      <w:r>
        <w:t>20.1 Field and harmonic control parameter</w:t>
      </w:r>
    </w:p>
    <w:p>
      <w:r>
        <w:t>Let Ψ(x,t) be a complex order-parameter field. Its magnitude |Ψ| measures the degree of local coherent association: |Ψ| = 0 represents a dispersed or unassociated phase, while |Ψ| &gt; 0 represents an associated coherent phase. This is an abstract modelling choice, similar in form to order parameters used in phase-transition theory.</w:t>
      </w:r>
    </w:p>
    <w:p>
      <w:pPr>
        <w:jc w:val="center"/>
      </w:pPr>
      <w:r>
        <w:rPr>
          <w:rFonts w:ascii="Cambria Math" w:hAnsi="Cambria Math" w:eastAsia="Cambria Math"/>
          <w:sz w:val="22"/>
        </w:rPr>
        <w:t>Q(x,t) ≡ B_CG(x,t) Z_NE(x,t) Z_NY(x,t)</w:t>
      </w:r>
      <w:r>
        <w:t xml:space="preserve">    (20.1)</w:t>
      </w:r>
    </w:p>
    <w:p>
      <w:r>
        <w:t>Q is required to be dimensionless. B_CG, Z_NE and Z_NY must therefore either be dimensionless individually or be normalised by explicitly stated reference scales. Q is treated first as an externally specified control field.</w:t>
      </w:r>
    </w:p>
    <w:p>
      <w:pPr>
        <w:pStyle w:val="Heading2"/>
      </w:pPr>
      <w:r>
        <w:t>20.2 Candidate Lagrangian density</w:t>
      </w:r>
    </w:p>
    <w:p>
      <w:r>
        <w:t>A minimal Lorentz-compatible scalar-field model is obtained by combining a kinetic term with a Q-dependent potential:</w:t>
      </w:r>
    </w:p>
    <w:p>
      <w:pPr>
        <w:jc w:val="center"/>
      </w:pPr>
      <w:r>
        <w:rPr>
          <w:rFonts w:ascii="Cambria Math" w:hAnsi="Cambria Math" w:eastAsia="Cambria Math"/>
          <w:sz w:val="22"/>
        </w:rPr>
        <w:t>ℒ = ∂_μΨ* ∂^μΨ − V(Ψ,Q)</w:t>
      </w:r>
      <w:r>
        <w:t xml:space="preserve">    (20.2)</w:t>
      </w:r>
    </w:p>
    <w:p>
      <w:pPr>
        <w:jc w:val="center"/>
      </w:pPr>
      <w:r>
        <w:rPr>
          <w:rFonts w:ascii="Cambria Math" w:hAnsi="Cambria Math" w:eastAsia="Cambria Math"/>
          <w:sz w:val="22"/>
        </w:rPr>
        <w:t>V(Ψ,Q) = α(Q_c − Q)|Ψ|² + (β/2)|Ψ|⁴</w:t>
      </w:r>
      <w:r>
        <w:t xml:space="preserve">    (20.3)</w:t>
      </w:r>
    </w:p>
    <w:p>
      <w:r>
        <w:t>Here α &gt; 0, β &gt; 0 and Q_c is a critical dimensionless threshold. In natural units, α has dimensions of mass squared and β is dimensionless in four spacetime dimensions. The quartic term keeps the energy bounded below.</w:t>
      </w:r>
    </w:p>
    <w:p>
      <w:pPr>
        <w:pStyle w:val="Heading2"/>
      </w:pPr>
      <w:r>
        <w:t>20.3 Euler-Lagrange field equation</w:t>
      </w:r>
    </w:p>
    <w:p>
      <w:r>
        <w:t>Varying the action S = ∫ℒ d⁴x with respect to Ψ* gives:</w:t>
      </w:r>
    </w:p>
    <w:p>
      <w:pPr>
        <w:jc w:val="center"/>
      </w:pPr>
      <w:r>
        <w:rPr>
          <w:rFonts w:ascii="Cambria Math" w:hAnsi="Cambria Math" w:eastAsia="Cambria Math"/>
          <w:sz w:val="22"/>
        </w:rPr>
        <w:t>∂_μ(∂ℒ/∂(∂_μΨ*)) − ∂ℒ/∂Ψ* = 0</w:t>
      </w:r>
      <w:r>
        <w:t xml:space="preserve">    (20.4)</w:t>
      </w:r>
    </w:p>
    <w:p>
      <w:pPr>
        <w:jc w:val="center"/>
      </w:pPr>
      <w:r>
        <w:rPr>
          <w:rFonts w:ascii="Cambria Math" w:hAnsi="Cambria Math" w:eastAsia="Cambria Math"/>
          <w:sz w:val="22"/>
        </w:rPr>
        <w:t>□Ψ + α(Q_c − Q)Ψ + β|Ψ|²Ψ = 0</w:t>
      </w:r>
      <w:r>
        <w:t xml:space="preserve">    (20.5)</w:t>
      </w:r>
    </w:p>
    <w:p>
      <w:r>
        <w:t>Equation (20.5) is a nonlinear Klein-Gordon-type equation with a control-dependent effective mass term.</w:t>
      </w:r>
    </w:p>
    <w:p>
      <w:pPr>
        <w:jc w:val="center"/>
      </w:pPr>
      <w:r>
        <w:rPr>
          <w:rFonts w:ascii="Cambria Math" w:hAnsi="Cambria Math" w:eastAsia="Cambria Math"/>
          <w:sz w:val="22"/>
        </w:rPr>
        <w:t>m_eff²(Q) ≡ α(Q_c − Q)</w:t>
      </w:r>
      <w:r>
        <w:t xml:space="preserve">    (20.6)</w:t>
      </w:r>
    </w:p>
    <w:p>
      <w:pPr>
        <w:pStyle w:val="Heading2"/>
      </w:pPr>
      <w:r>
        <w:t>20.4 Disassociation and re-association criterion</w:t>
      </w:r>
    </w:p>
    <w:p>
      <w:r>
        <w:t>For a spatially uniform equilibrium, minimise V with respect to r = |Ψ|. The stationary condition is:</w:t>
      </w:r>
    </w:p>
    <w:p>
      <w:pPr>
        <w:jc w:val="center"/>
      </w:pPr>
      <w:r>
        <w:rPr>
          <w:rFonts w:ascii="Cambria Math" w:hAnsi="Cambria Math" w:eastAsia="Cambria Math"/>
          <w:sz w:val="22"/>
        </w:rPr>
        <w:t>dV/dr = 2r[α(Q_c − Q) + βr²] = 0</w:t>
      </w:r>
      <w:r>
        <w:t xml:space="preserve">    (20.7)</w:t>
      </w:r>
    </w:p>
    <w:p>
      <w:r>
        <w:t>This produces two regimes:</w:t>
      </w:r>
    </w:p>
    <w:p>
      <w:pPr>
        <w:jc w:val="center"/>
      </w:pPr>
      <w:r>
        <w:rPr>
          <w:rFonts w:ascii="Cambria Math" w:hAnsi="Cambria Math" w:eastAsia="Cambria Math"/>
          <w:sz w:val="22"/>
        </w:rPr>
        <w:t>Q ≤ Q_c  ⇒  |Ψ|_eq = 0</w:t>
      </w:r>
      <w:r>
        <w:t xml:space="preserve">    (20.8)</w:t>
      </w:r>
    </w:p>
    <w:p>
      <w:pPr>
        <w:jc w:val="center"/>
      </w:pPr>
      <w:r>
        <w:rPr>
          <w:rFonts w:ascii="Cambria Math" w:hAnsi="Cambria Math" w:eastAsia="Cambria Math"/>
          <w:sz w:val="22"/>
        </w:rPr>
        <w:t>Q &gt; Q_c  ⇒  |Ψ|_eq² = α(Q − Q_c)/β</w:t>
      </w:r>
      <w:r>
        <w:t xml:space="preserve">    (20.9)</w:t>
      </w:r>
    </w:p>
    <w:p>
      <w:r>
        <w:t>Within this model, crossing below the threshold Q_c favours the dispersed state, whereas crossing above it favours a non-zero associated state. This is a phase-transition analogy, not evidence that matter physically disassembles and reconstructs through harmonic tuning.</w:t>
      </w:r>
    </w:p>
    <w:p>
      <w:pPr>
        <w:pStyle w:val="Heading2"/>
      </w:pPr>
      <w:r>
        <w:t>20.5 Canonical momentum and Hamiltonian</w:t>
      </w:r>
    </w:p>
    <w:p>
      <w:r>
        <w:t>Using units in which the characteristic propagation speed equals one, the canonical momenta are:</w:t>
      </w:r>
    </w:p>
    <w:p>
      <w:pPr>
        <w:jc w:val="center"/>
      </w:pPr>
      <w:r>
        <w:rPr>
          <w:rFonts w:ascii="Cambria Math" w:hAnsi="Cambria Math" w:eastAsia="Cambria Math"/>
          <w:sz w:val="22"/>
        </w:rPr>
        <w:t>Π ≡ ∂ℒ/∂(∂_tΨ) = ∂_tΨ*</w:t>
      </w:r>
      <w:r>
        <w:t xml:space="preserve">    (20.10)</w:t>
      </w:r>
    </w:p>
    <w:p>
      <w:pPr>
        <w:jc w:val="center"/>
      </w:pPr>
      <w:r>
        <w:rPr>
          <w:rFonts w:ascii="Cambria Math" w:hAnsi="Cambria Math" w:eastAsia="Cambria Math"/>
          <w:sz w:val="22"/>
        </w:rPr>
        <w:t>Π* ≡ ∂ℒ/∂(∂_tΨ*) = ∂_tΨ</w:t>
      </w:r>
      <w:r>
        <w:t xml:space="preserve">    (20.11)</w:t>
      </w:r>
    </w:p>
    <w:p>
      <w:r>
        <w:t>The Hamiltonian density is therefore:</w:t>
      </w:r>
    </w:p>
    <w:p>
      <w:pPr>
        <w:jc w:val="center"/>
      </w:pPr>
      <w:r>
        <w:rPr>
          <w:rFonts w:ascii="Cambria Math" w:hAnsi="Cambria Math" w:eastAsia="Cambria Math"/>
          <w:sz w:val="22"/>
        </w:rPr>
        <w:t>ℋ = |Π|² + |∇Ψ|² + α(Q_c − Q)|Ψ|² + (β/2)|Ψ|⁴</w:t>
      </w:r>
      <w:r>
        <w:t xml:space="preserve">    (20.12)</w:t>
      </w:r>
    </w:p>
    <w:p>
      <w:pPr>
        <w:jc w:val="center"/>
      </w:pPr>
      <w:r>
        <w:rPr>
          <w:rFonts w:ascii="Cambria Math" w:hAnsi="Cambria Math" w:eastAsia="Cambria Math"/>
          <w:sz w:val="22"/>
        </w:rPr>
        <w:t>H = ∫_Ω ℋ d³x</w:t>
      </w:r>
      <w:r>
        <w:t xml:space="preserve">    (20.13)</w:t>
      </w:r>
    </w:p>
    <w:p>
      <w:r>
        <w:t>For β &gt; 0, the Hamiltonian is bounded below. Any proposed parameter values must preserve this stability condition.</w:t>
      </w:r>
    </w:p>
    <w:p>
      <w:pPr>
        <w:pStyle w:val="Heading2"/>
      </w:pPr>
      <w:r>
        <w:t>20.6 Coherence and association functional</w:t>
      </w:r>
    </w:p>
    <w:p>
      <w:r>
        <w:t>A global measure of association over a region Ω can be defined without identifying it with mass or energy:</w:t>
      </w:r>
    </w:p>
    <w:p>
      <w:pPr>
        <w:jc w:val="center"/>
      </w:pPr>
      <w:r>
        <w:rPr>
          <w:rFonts w:ascii="Cambria Math" w:hAnsi="Cambria Math" w:eastAsia="Cambria Math"/>
          <w:sz w:val="22"/>
        </w:rPr>
        <w:t>C_Ω(t) ≡ ∫_Ω |Ψ(x,t)|² d³x</w:t>
      </w:r>
      <w:r>
        <w:t xml:space="preserve">    (20.14)</w:t>
      </w:r>
    </w:p>
    <w:p>
      <w:pPr>
        <w:jc w:val="center"/>
      </w:pPr>
      <w:r>
        <w:rPr>
          <w:rFonts w:ascii="Cambria Math" w:hAnsi="Cambria Math" w:eastAsia="Cambria Math"/>
          <w:sz w:val="22"/>
        </w:rPr>
        <w:t>R(t) = 1  if  C_Ω(t) ≥ C_crit;    R(t) = 0  otherwise</w:t>
      </w:r>
      <w:r>
        <w:t xml:space="preserve">    (20.15)</w:t>
      </w:r>
    </w:p>
    <w:p>
      <w:r>
        <w:t>C_crit is an operational threshold chosen for a specified experiment. It must not be treated as a universal constant unless independently measured to be invariant.</w:t>
      </w:r>
    </w:p>
    <w:p>
      <w:pPr>
        <w:pStyle w:val="Heading2"/>
      </w:pPr>
      <w:r>
        <w:t>20.7 Conserved current in the closed model</w:t>
      </w:r>
    </w:p>
    <w:p>
      <w:r>
        <w:t>Because the Lagrangian is invariant under the global phase transformation Ψ → e^{iθ}Ψ, Noether's theorem gives:</w:t>
      </w:r>
    </w:p>
    <w:p>
      <w:pPr>
        <w:jc w:val="center"/>
      </w:pPr>
      <w:r>
        <w:rPr>
          <w:rFonts w:ascii="Cambria Math" w:hAnsi="Cambria Math" w:eastAsia="Cambria Math"/>
          <w:sz w:val="22"/>
        </w:rPr>
        <w:t>j^μ = i(Ψ*∂^μΨ − Ψ∂^μΨ*)</w:t>
      </w:r>
      <w:r>
        <w:t xml:space="preserve">    (20.16)</w:t>
      </w:r>
    </w:p>
    <w:p>
      <w:pPr>
        <w:jc w:val="center"/>
      </w:pPr>
      <w:r>
        <w:rPr>
          <w:rFonts w:ascii="Cambria Math" w:hAnsi="Cambria Math" w:eastAsia="Cambria Math"/>
          <w:sz w:val="22"/>
        </w:rPr>
        <w:t>∂_μ j^μ = 0</w:t>
      </w:r>
      <w:r>
        <w:t xml:space="preserve">    (20.17)</w:t>
      </w:r>
    </w:p>
    <w:p>
      <w:r>
        <w:t>This conserved quantity is a field charge associated with phase symmetry. It is not automatically particle number, electric charge or matter content; such an identification would require an explicit physical mapping.</w:t>
      </w:r>
    </w:p>
    <w:p>
      <w:pPr>
        <w:pStyle w:val="Heading2"/>
      </w:pPr>
      <w:r>
        <w:t>20.8 Irreversible dispersal requires an open-system term</w:t>
      </w:r>
    </w:p>
    <w:p>
      <w:r>
        <w:t>A conservative Lagrangian alone cannot represent irreversible decay, environmental decoherence or dissipative dispersal. A phenomenological open-system extension may be introduced:</w:t>
      </w:r>
    </w:p>
    <w:p>
      <w:pPr>
        <w:jc w:val="center"/>
      </w:pPr>
      <w:r>
        <w:rPr>
          <w:rFonts w:ascii="Cambria Math" w:hAnsi="Cambria Math" w:eastAsia="Cambria Math"/>
          <w:sz w:val="22"/>
        </w:rPr>
        <w:t>∂_tρ + ∇·J = −Γ_D ρ + Γ_R(Q)(ρ_eq − ρ)</w:t>
      </w:r>
      <w:r>
        <w:t xml:space="preserve">    (20.18)</w:t>
      </w:r>
    </w:p>
    <w:p>
      <w:pPr>
        <w:jc w:val="center"/>
      </w:pPr>
      <w:r>
        <w:rPr>
          <w:rFonts w:ascii="Cambria Math" w:hAnsi="Cambria Math" w:eastAsia="Cambria Math"/>
          <w:sz w:val="22"/>
        </w:rPr>
        <w:t>Γ_R(Q) = Γ_0 max[0, Q − Q_c]</w:t>
      </w:r>
      <w:r>
        <w:t xml:space="preserve">    (20.19)</w:t>
      </w:r>
    </w:p>
    <w:p>
      <w:r>
        <w:t>Γ_D is a disassociation or loss rate, and Γ_R is a Q-dependent re-association rate. These rates must be obtained from measurement or from a specified microscopic theory; they cannot be inferred merely from the names ZNE, ZNY or C-G balance.</w:t>
      </w:r>
    </w:p>
    <w:p>
      <w:pPr>
        <w:pStyle w:val="Heading2"/>
      </w:pPr>
      <w:r>
        <w:t>20.9 Optional dynamic equation for the harmonic field</w:t>
      </w:r>
    </w:p>
    <w:p>
      <w:r>
        <w:t>If Q is to be a dynamical field rather than an external parameter, introduce a real field q with its own kinetic and potential terms:</w:t>
      </w:r>
    </w:p>
    <w:p>
      <w:pPr>
        <w:jc w:val="center"/>
      </w:pPr>
      <w:r>
        <w:rPr>
          <w:rFonts w:ascii="Cambria Math" w:hAnsi="Cambria Math" w:eastAsia="Cambria Math"/>
          <w:sz w:val="22"/>
        </w:rPr>
        <w:t>ℒ_total = ℒ_Ψ + (κ_q/2)∂_μq ∂^μq − U(q) − g q|Ψ|²</w:t>
      </w:r>
      <w:r>
        <w:t xml:space="preserve">    (20.20)</w:t>
      </w:r>
    </w:p>
    <w:p>
      <w:pPr>
        <w:jc w:val="center"/>
      </w:pPr>
      <w:r>
        <w:rPr>
          <w:rFonts w:ascii="Cambria Math" w:hAnsi="Cambria Math" w:eastAsia="Cambria Math"/>
          <w:sz w:val="22"/>
        </w:rPr>
        <w:t>κ_q □q + dU/dq + g|Ψ|² = 0</w:t>
      </w:r>
      <w:r>
        <w:t xml:space="preserve">    (20.21)</w:t>
      </w:r>
    </w:p>
    <w:p>
      <w:r>
        <w:t>A mapping q = f(B_CG,Z_NE,Z_NY) must then be specified. Without that mapping, treating the product Q as a fundamental field is only a notation, not a physical derivation.</w:t>
      </w:r>
    </w:p>
    <w:p>
      <w:pPr>
        <w:pStyle w:val="Heading2"/>
      </w:pPr>
      <w:r>
        <w:t>20.10 Testable consequences required</w:t>
      </w:r>
    </w:p>
    <w:p>
      <w:pPr>
        <w:pStyle w:val="ListBullet"/>
      </w:pPr>
      <w:r>
        <w:t>Define how B_CG, Z_NE and Z_NY are measured and give each an operational unit or normalisation.</w:t>
      </w:r>
    </w:p>
    <w:p>
      <w:pPr>
        <w:pStyle w:val="ListBullet"/>
      </w:pPr>
      <w:r>
        <w:t>Specify α, β, Q_c, Γ_D, Γ_0 and any propagation speed from independent data.</w:t>
      </w:r>
    </w:p>
    <w:p>
      <w:pPr>
        <w:pStyle w:val="ListBullet"/>
      </w:pPr>
      <w:r>
        <w:t>Predict an observable threshold, relaxation time, spectral shift or correlation length.</w:t>
      </w:r>
    </w:p>
    <w:p>
      <w:pPr>
        <w:pStyle w:val="ListBullet"/>
      </w:pPr>
      <w:r>
        <w:t>Compare the prediction with a null model that excludes Q.</w:t>
      </w:r>
    </w:p>
    <w:p>
      <w:pPr>
        <w:pStyle w:val="ListBullet"/>
      </w:pPr>
      <w:r>
        <w:t>Reject or revise the model if the measured transition does not occur at the predicted Q_c.</w:t>
      </w:r>
    </w:p>
    <w:p>
      <w:pPr>
        <w:pStyle w:val="Heading2"/>
      </w:pPr>
      <w:r>
        <w:t>20.11 Compact derived sequence</w:t>
      </w:r>
    </w:p>
    <w:p>
      <w:pPr>
        <w:jc w:val="center"/>
      </w:pPr>
      <w:r>
        <w:rPr>
          <w:rFonts w:ascii="Cambria Math" w:hAnsi="Cambria Math" w:eastAsia="Cambria Math"/>
          <w:sz w:val="22"/>
        </w:rPr>
        <w:t>S₀ → D → P → [Q crosses Q_c] → R → S₁</w:t>
      </w:r>
      <w:r>
        <w:t xml:space="preserve">    (20.22)</w:t>
      </w:r>
    </w:p>
    <w:p>
      <w:r>
        <w:t>The sequence is now associated with an explicit mathematical mechanism: Q changes the curvature of the effective potential, which changes the stable equilibrium value of |Ψ|. This is the most defensible meaning of harmonic re-association available from the stated assumptions.</w:t>
      </w:r>
    </w:p>
    <w:p>
      <w:pPr>
        <w:pStyle w:val="Heading2"/>
      </w:pPr>
      <w:r>
        <w:t>Editorial conclusion</w:t>
      </w:r>
    </w:p>
    <w:p>
      <w:r>
        <w:t>The model is internally coherent as a speculative effective-field description. Its strongest feature is the clear threshold prediction in Equation (20.9). Its principal limitation is that the harmonic factors are not yet operationally defined. Until they are connected to measurable quantities and produce a result that differs from standard phase-transition or open-system models, the construction remains a proposed mathematical analogy rather than a new physical theory.</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