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Proposed Chapter 20</w:t>
        <w:br/>
        <w:t>Factual Disassociation, Matter Dispersal and Harmonic Re‑Association</w:t>
      </w:r>
    </w:p>
    <w:p>
      <w:r>
        <w:rPr>
          <w:b/>
        </w:rPr>
        <w:t>Purpose</w:t>
        <w:br/>
      </w:r>
      <w:r>
        <w:t>This chapter introduces a conceptual framework describing how coherent physical systems may separate, propagate, and reform. The first three stages correspond to established physical processes, while the final harmonic interpretation represents a hypothesis within Universal Harmonic Theory.</w:t>
        <w:br/>
        <w:br/>
      </w:r>
    </w:p>
    <w:p>
      <w:pPr>
        <w:pStyle w:val="Heading2"/>
      </w:pPr>
      <w:r>
        <w:t>20.1 Factual Disassociation</w:t>
      </w:r>
    </w:p>
    <w:p>
      <w:r>
        <w:t>Bound systems may separate through physical processes such as molecular dissociation, ionisation, nuclear decay, or quantum decoherence. These processes redistribute matter and energy while conserving fundamental quantities.</w:t>
      </w:r>
    </w:p>
    <w:p>
      <w:pPr>
        <w:pStyle w:val="Heading2"/>
      </w:pPr>
      <w:r>
        <w:t>20.2 Matter Dispersal</w:t>
      </w:r>
    </w:p>
    <w:p>
      <w:r>
        <w:t>Following separation, particles and fields propagate according to known physical laws including wave mechanics, electromagnetism, gravitation, diffusion and quantum field theory.</w:t>
      </w:r>
    </w:p>
    <w:p>
      <w:pPr>
        <w:pStyle w:val="Heading2"/>
      </w:pPr>
      <w:r>
        <w:t>20.3 Harmonic Transition</w:t>
      </w:r>
    </w:p>
    <w:p>
      <w:r>
        <w:t>In Universal Harmonic Theory, dispersal is hypothesised to occur through a harmonic field influenced by the proposed ZNE and ZNY equilibrium operators together with C–G harmonic balance. This remains a theoretical proposal requiring mathematical formulation and experimental validation.</w:t>
      </w:r>
    </w:p>
    <w:p>
      <w:pPr>
        <w:pStyle w:val="Heading2"/>
      </w:pPr>
      <w:r>
        <w:t>20.4 Harmonic Re‑Association</w:t>
      </w:r>
    </w:p>
    <w:p>
      <w:r>
        <w:t>When environmental and energetic conditions permit, dispersed matter may reform coherent structures. Established examples include chemical bonding, crystallisation, gravitational collapse and Bose–Einstein condensation. Within the proposed framework, re‑association is hypothesised to favour harmonic compatibility.</w:t>
      </w:r>
    </w:p>
    <w:p>
      <w:pPr>
        <w:pStyle w:val="Heading2"/>
      </w:pPr>
      <w:r>
        <w:t>20.5 Conceptual Sequence</w:t>
      </w:r>
    </w:p>
    <w:p>
      <w:r>
        <w:t>S₀ (Coherent State)</w:t>
        <w:br/>
        <w:t>→ D (Disassociation)</w:t>
        <w:br/>
        <w:t>→ P (Propagation)</w:t>
        <w:br/>
        <w:t>→ H (Harmonic Transition – proposed)</w:t>
        <w:br/>
        <w:t>→ R (Re‑Association)</w:t>
        <w:br/>
        <w:t>→ S₁ (New Coherent State)</w:t>
      </w:r>
    </w:p>
    <w:p>
      <w:pPr>
        <w:pStyle w:val="Heading2"/>
      </w:pPr>
      <w:r>
        <w:t>20.6 Scientific Perspective</w:t>
      </w:r>
    </w:p>
    <w:p>
      <w:r>
        <w:t>The first, second and final physical examples are established science. The harmonic transition based on ZNE, ZNY and C–G balance should be presented as a testable hypothesis rather than an established physical law until supported by mathematical derivation and experimental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