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Harmonic Redistribution Through Focal Lensing</w:t>
      </w:r>
    </w:p>
    <w:p>
      <w:pPr>
        <w:pStyle w:val="Heading2"/>
      </w:pPr>
      <w:r>
        <w:t>Proposed Principle</w:t>
      </w:r>
    </w:p>
    <w:p>
      <w:r>
        <w:t>Within the Universal Harmonic Theory framework, the underlying harmonic system is proposed to retain its inherent unity throughout propagation. Observable phenomena do not arise from fragmentation or loss of the harmonic whole, but from the redistribution of harmonic coherence within a changing equilibrium.</w:t>
      </w:r>
    </w:p>
    <w:p>
      <w:pPr>
        <w:pStyle w:val="Heading2"/>
      </w:pPr>
      <w:r>
        <w:t>Harmonic Redistribution</w:t>
      </w:r>
    </w:p>
    <w:p>
      <w:r>
        <w:t>Accordingly, the term 'scatter field' is interpreted not as the physical separation of the harmonic system, but as the observable redistribution of harmonic relationships across space and scale. The total harmonic structure is proposed to remain conserved, while local variations in equilibrium produce measurable differences in coherence, phase, spectral content, and field intensity.</w:t>
      </w:r>
    </w:p>
    <w:p>
      <w:pPr>
        <w:pStyle w:val="Heading2"/>
      </w:pPr>
      <w:r>
        <w:t>Spectral Divergence Through Focal Lensing</w:t>
      </w:r>
    </w:p>
    <w:p>
      <w:r>
        <w:t>As a focal harmonic region develops through the interaction of ZNE, ZNY, the coupled C–G harmonic balance, and the proposed Quantum Value (QV), the harmonic field undergoes spectral divergence through focal lensing. This divergence is interpreted as a redistribution of observable harmonic modes while preserving the inherent harmonic identity of the complete system.</w:t>
      </w:r>
    </w:p>
    <w:p>
      <w:pPr>
        <w:pStyle w:val="Heading2"/>
      </w:pPr>
      <w:r>
        <w:t>Unified Interpretation</w:t>
      </w:r>
    </w:p>
    <w:p>
      <w:r>
        <w:t>Within this proposed interpretation, the whole remains harmonic and coherent; only its observable manifestation changes. Emergence is proposed to arise through harmonic redistribution rather than fragmentation of the underlying field. This chapter presents a theoretical hypothesis requiring mathematical development and experimental evaluation.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