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Harmonic Scale Interpretation of Particle Scattering</w:t>
      </w:r>
    </w:p>
    <w:p>
      <w:pPr>
        <w:pStyle w:val="Heading2"/>
      </w:pPr>
      <w:r>
        <w:t>Harmonic Scale Postulate</w:t>
      </w:r>
    </w:p>
    <w:p>
      <w:r>
        <w:t>Universal Harmonic Theory proposes that the established scattering models—Compton Scattering, Rutherford Scattering, and Rayleigh Scattering—describe experimentally observed interactions correctly within their respective domains. This framework hypothesizes that they may also be interpreted as distinct observational regimes of a single underlying harmonic process rather than fundamentally separate mechanisms.</w:t>
      </w:r>
    </w:p>
    <w:p>
      <w:pPr>
        <w:pStyle w:val="Heading2"/>
      </w:pPr>
      <w:r>
        <w:t>Proposed Harmonic Interpretation</w:t>
      </w:r>
    </w:p>
    <w:p>
      <w:r>
        <w:t>Within this framework, the measurable scattering interaction depends upon the local harmonic state of the field, characterised by the proposed equilibrium operators ZNE, ZNY, the coupled C–G harmonic balance, and the emergent Quantum Value (QV). The observed scattering mechanism is therefore proposed to depend upon harmonic scale and local field coherence.</w:t>
        <w:br/>
        <w:br/>
        <w:t>• Rayleigh Regime — coherent harmonic redistribution with minimal harmonic divergence and negligible energy transfer.</w:t>
        <w:br/>
        <w:t>• Compton Regime — intermediate harmonic divergence where energy is redistributed through changes in local harmonic equilibrium.</w:t>
        <w:br/>
        <w:t>• Rutherford Regime — strong harmonic curvature producing measurable directional deflection while conserving the dominant particle trajectory.</w:t>
      </w:r>
    </w:p>
    <w:p>
      <w:pPr>
        <w:pStyle w:val="Heading2"/>
      </w:pPr>
      <w:r>
        <w:t>Unified Harmonic Principle</w:t>
      </w:r>
    </w:p>
    <w:p>
      <w:r>
        <w:t>As local harmonic equilibrium evolves through ZNE ↔ ZNY, coupled by the C–G harmonic relationship, the measured interaction is proposed to transition continuously between coherent redistribution, energy redistribution, and directional deflection. Accordingly, Universal Harmonic Theory interprets scattering as a manifestation of harmonic field evolution whose experimental appearance depends upon harmonic scale, coherence, and equilibrium.</w:t>
      </w:r>
    </w:p>
    <w:p>
      <w:pPr>
        <w:pStyle w:val="Heading2"/>
      </w:pPr>
      <w:r>
        <w:t>Scientific Position</w:t>
      </w:r>
    </w:p>
    <w:p>
      <w:r>
        <w:t>This chapter presents a theoretical hypothesis intended to unify existing scattering descriptions while preserving their experimentally verified predictions. Its scientific value depends on rigorous mathematical formulation and successful experimental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