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Induction Loop Creates a Field</w:t>
      </w:r>
    </w:p>
    <w:p>
      <w:pPr>
        <w:pStyle w:val="Heading2"/>
      </w:pPr>
      <w:r>
        <w:t>Established Electromagnetism</w:t>
      </w:r>
    </w:p>
    <w:p>
      <w:r>
        <w:t>Within established electromagnetism, an induction loop creates a magnetic field whenever an electric current flows through the conductor. The magnetic field forms continuous closed loops around the conductor, with its strength determined by the current, the geometry of the loop, and the surrounding medium.</w:t>
      </w:r>
    </w:p>
    <w:p>
      <w:pPr>
        <w:pStyle w:val="Heading2"/>
      </w:pPr>
      <w:r>
        <w:t>Proposed Harmonic Interpretation</w:t>
      </w:r>
    </w:p>
    <w:p>
      <w:r>
        <w:t>Within the proposed Universal Harmonic Theory framework, the induction loop is hypothesised to establish a local harmonic field rather than merely generating magnetism. The interaction of ZNE, ZNY, the coupled C–G harmonic balance, and the proposed Quantum Value (QV) governs the redistribution of harmonic coherence within this field.</w:t>
      </w:r>
    </w:p>
    <w:p>
      <w:pPr>
        <w:pStyle w:val="Heading2"/>
      </w:pPr>
      <w:r>
        <w:t>Harmonic Field Evolution</w:t>
      </w:r>
    </w:p>
    <w:p>
      <w:r>
        <w:t>In this interpretation, the induction loop does not create the harmonic whole; rather, it establishes a local harmonic environment in which equilibrium, divergence, resonance, and propagation become observable. The total harmonic field is proposed to remain conserved while local harmonic coherence is continuously redistributed.</w:t>
      </w:r>
    </w:p>
    <w:p>
      <w:pPr>
        <w:pStyle w:val="Heading2"/>
      </w:pPr>
      <w:r>
        <w:t>Conclusion</w:t>
      </w:r>
    </w:p>
    <w:p>
      <w:r>
        <w:t>Accordingly, the induction loop is interpreted as the initiating mechanism that establishes a bounded harmonic field, within which measurable electromagnetic and harmonic phenomena emerge through dynamic equilibrium rather than fragmentation of the underlying harmonic structure. This is presented as a theoretical hypothesis requiring further mathematical development and experimental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