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Magnetic Field Induction versus Magnetic Polarity</w:t>
      </w:r>
    </w:p>
    <w:p>
      <w:pPr>
        <w:pStyle w:val="Heading2"/>
      </w:pPr>
      <w:r>
        <w:t>Established Physical Distinction</w:t>
      </w:r>
    </w:p>
    <w:p>
      <w:r>
        <w:t>Magnetic induction and magnetic polarity describe different aspects of magnetic phenomena.</w:t>
        <w:br/>
        <w:br/>
        <w:t>Magnetic induction refers to the generation or alteration of a magnetic field through changing electric currents or changing magnetic flux, as described by Faraday's law and Maxwell's equations.</w:t>
        <w:br/>
        <w:br/>
        <w:t>Magnetic polarity refers to the directional orientation of a magnetic field, commonly described by north and south poles. Polarity determines the direction of magnetic field lines and magnetic interactions.</w:t>
      </w:r>
    </w:p>
    <w:p>
      <w:pPr>
        <w:pStyle w:val="Heading2"/>
      </w:pPr>
      <w:r>
        <w:t>Proposed Harmonic Interpretation</w:t>
      </w:r>
    </w:p>
    <w:p>
      <w:r>
        <w:t>Within the Universal Harmonic Theory framework, magnetic induction is proposed to represent the dynamic redistribution of harmonic coherence, while magnetic polarity represents the directional organisation of that harmonic redistribution. The proposed interaction of ZNE, ZNY, the coupled C–G harmonic balance, and the Quantum Value (QV) is hypothesised to govern both induction and polarity.</w:t>
      </w:r>
    </w:p>
    <w:p>
      <w:pPr>
        <w:pStyle w:val="Heading2"/>
      </w:pPr>
      <w:r>
        <w:t>Unified Interpretation</w:t>
      </w:r>
    </w:p>
    <w:p>
      <w:r>
        <w:t>Within this proposed framework:</w:t>
        <w:br/>
        <w:t>• Induction governs the evolution of the harmonic field.</w:t>
        <w:br/>
        <w:t>• Polarity governs the orientation of harmonic equilibrium.</w:t>
        <w:br/>
        <w:t>• Propagation results from their dynamic interaction.</w:t>
        <w:br/>
        <w:t>• The underlying harmonic field remains conserved while its observable electromagnetic behaviour evolves.</w:t>
      </w:r>
    </w:p>
    <w:p>
      <w:pPr>
        <w:pStyle w:val="Heading2"/>
      </w:pPr>
      <w:r>
        <w:t>Scientific Position</w:t>
      </w:r>
    </w:p>
    <w:p>
      <w:r>
        <w:t>This chapter presents a theoretical hypothesis within Universal Harmonic Theory. The proposed harmonic interpretation requires further mathematical formulation and experimental evaluation.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