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Insert: Tonal Dynamics and Conceptual C–G Harmonic Progression</w:t>
      </w:r>
    </w:p>
    <w:p>
      <w:r>
        <w:rPr>
          <w:b/>
        </w:rPr>
        <w:t xml:space="preserve">Editorial note: </w:t>
      </w:r>
      <w:r>
        <w:t>This chapter discusses established musical concepts (modulation, modality, tonal stability) and presents the later C–G harmonic progression as the author's conceptual interpretive framework, not as an established physical model.</w:t>
      </w:r>
    </w:p>
    <w:p>
      <w:pPr>
        <w:pStyle w:val="Heading2"/>
      </w:pPr>
      <w:r>
        <w:t>Integrated Framework</w:t>
      </w:r>
    </w:p>
    <w:p>
      <w:r>
        <w:t>Musical harmony develops through the interaction of wave-like modulation, resonance, modality, and tonal organisation. Rather than existing as a static condition, harmonic balance emerges through continuous evolution in which movement and stability remain complementary.</w:t>
        <w:br/>
        <w:br/>
        <w:t>The modulation wave effect represents the continuous development of harmonic relationships as melodic, harmonic, and rhythmic elements interact. Effective modulation preserves musical coherence while allowing the tonal landscape to evolve.</w:t>
        <w:br/>
        <w:br/>
        <w:t>From this process arises high modal coherence: the preservation of a consistent modal identity throughout musical development. Sustained modal coherence naturally supports exceptional tonal stability, providing a perceptually stable tonal centre around which harmonic motion unfolds.</w:t>
        <w:br/>
        <w:br/>
        <w:t>Within the author's conceptual framework, tonal dynamics may be viewed as progressing toward a reference state of harmonic equilibrium symbolised by the musical relationship C–G. This C–G reference is used as an artistic model of consonant balance inspired by the perfect fifth in music theory.</w:t>
      </w:r>
    </w:p>
    <w:p>
      <w:pPr>
        <w:pStyle w:val="Heading2"/>
      </w:pPr>
      <w:r>
        <w:t>Conceptual Progression</w:t>
      </w:r>
    </w:p>
    <w:p>
      <w:r>
        <w:t>Wave Propagation</w:t>
        <w:br/>
        <w:t xml:space="preserve">        ↓</w:t>
        <w:br/>
        <w:t>Harmonic Modulation</w:t>
        <w:br/>
        <w:t xml:space="preserve">        ↓</w:t>
        <w:br/>
        <w:t>High Modal Coherence</w:t>
        <w:br/>
        <w:t xml:space="preserve">        ↓</w:t>
        <w:br/>
        <w:t>Exceptional Tonal Stability</w:t>
        <w:br/>
        <w:t xml:space="preserve">        ↓</w:t>
        <w:br/>
        <w:t>Tonal Dynamics</w:t>
        <w:br/>
        <w:t xml:space="preserve">        ↓</w:t>
        <w:br/>
        <w:t>Conceptual C–G Harmonic Equilibrium</w:t>
      </w:r>
    </w:p>
    <w:p>
      <w:pPr>
        <w:pStyle w:val="Heading2"/>
      </w:pPr>
      <w:r>
        <w:t>Illustrative Musical Continuum</w:t>
      </w:r>
    </w:p>
    <w:tbl>
      <w:tblPr>
        <w:tblStyle w:val="TableGrid"/>
        <w:tblW w:type="auto" w:w="0"/>
        <w:tblLook w:firstColumn="1" w:firstRow="1" w:lastColumn="0" w:lastRow="0" w:noHBand="0" w:noVBand="1" w:val="04A0"/>
      </w:tblPr>
      <w:tblGrid>
        <w:gridCol w:w="4320"/>
        <w:gridCol w:w="4320"/>
      </w:tblGrid>
      <w:tr>
        <w:tc>
          <w:tcPr>
            <w:tcW w:type="dxa" w:w="4320"/>
          </w:tcPr>
          <w:p>
            <w:r>
              <w:t>Work</w:t>
            </w:r>
          </w:p>
        </w:tc>
        <w:tc>
          <w:tcPr>
            <w:tcW w:type="dxa" w:w="4320"/>
          </w:tcPr>
          <w:p>
            <w:r>
              <w:t>Conceptual Role</w:t>
            </w:r>
          </w:p>
        </w:tc>
      </w:tr>
      <w:tr>
        <w:tc>
          <w:tcPr>
            <w:tcW w:type="dxa" w:w="4320"/>
          </w:tcPr>
          <w:p>
            <w:r>
              <w:t>Katy Perry – Wide Awake</w:t>
            </w:r>
          </w:p>
        </w:tc>
        <w:tc>
          <w:tcPr>
            <w:tcW w:type="dxa" w:w="4320"/>
          </w:tcPr>
          <w:p>
            <w:r>
              <w:t>Transition toward tonal stability</w:t>
            </w:r>
          </w:p>
        </w:tc>
      </w:tr>
      <w:tr>
        <w:tc>
          <w:tcPr>
            <w:tcW w:type="dxa" w:w="4320"/>
          </w:tcPr>
          <w:p>
            <w:r>
              <w:t>Andrew Lockington – Buffalo</w:t>
            </w:r>
          </w:p>
        </w:tc>
        <w:tc>
          <w:tcPr>
            <w:tcW w:type="dxa" w:w="4320"/>
          </w:tcPr>
          <w:p>
            <w:r>
              <w:t>Expanding harmonic architecture</w:t>
            </w:r>
          </w:p>
        </w:tc>
      </w:tr>
      <w:tr>
        <w:tc>
          <w:tcPr>
            <w:tcW w:type="dxa" w:w="4320"/>
          </w:tcPr>
          <w:p>
            <w:r>
              <w:t>All Saints – Pure Shores</w:t>
            </w:r>
          </w:p>
        </w:tc>
        <w:tc>
          <w:tcPr>
            <w:tcW w:type="dxa" w:w="4320"/>
          </w:tcPr>
          <w:p>
            <w:r>
              <w:t>Sustained harmonic continuity</w:t>
            </w:r>
          </w:p>
        </w:tc>
      </w:tr>
      <w:tr>
        <w:tc>
          <w:tcPr>
            <w:tcW w:type="dxa" w:w="4320"/>
          </w:tcPr>
          <w:p>
            <w:r>
              <w:t>Lisa Gerrard – Vocal works</w:t>
            </w:r>
          </w:p>
        </w:tc>
        <w:tc>
          <w:tcPr>
            <w:tcW w:type="dxa" w:w="4320"/>
          </w:tcPr>
          <w:p>
            <w:r>
              <w:t>High modal coherence and exceptional tonal stability</w:t>
            </w:r>
          </w:p>
        </w:tc>
      </w:tr>
      <w:tr>
        <w:tc>
          <w:tcPr>
            <w:tcW w:type="dxa" w:w="4320"/>
          </w:tcPr>
          <w:p>
            <w:r>
              <w:t>C–G Perfect Fifth</w:t>
            </w:r>
          </w:p>
        </w:tc>
        <w:tc>
          <w:tcPr>
            <w:tcW w:type="dxa" w:w="4320"/>
          </w:tcPr>
          <w:p>
            <w:r>
              <w:t>Conceptual reference for harmonic equilibrium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