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Helispectral Field</w:t>
      </w:r>
    </w:p>
    <w:p>
      <w:pPr>
        <w:jc w:val="center"/>
      </w:pPr>
      <w:r>
        <w:rPr>
          <w:i/>
        </w:rPr>
        <w:t>Conceptual mathematical formulation for Universal Harmonic Theory, Volume II</w:t>
      </w:r>
    </w:p>
    <w:p>
      <w:pPr>
        <w:pStyle w:val="Heading1"/>
      </w:pPr>
      <w:r>
        <w:t>1. Definition</w:t>
      </w:r>
    </w:p>
    <w:p>
      <w:r>
        <w:t>The Helispectral Field, denoted by H_s(x,t), is defined here as a coherent distribution of wave energy in which amplitude, frequency, wavelength, phase and geometric structure are treated as components of one evolving field. The term is original to this conceptual framework and is not an established field of mainstream physics.</w:t>
      </w:r>
    </w:p>
    <w:p>
      <w:pPr>
        <w:pStyle w:val="Heading1"/>
      </w:pPr>
      <w:r>
        <w:t>2. Core Field Representation</w:t>
      </w:r>
    </w:p>
    <w:p>
      <w:pPr>
        <w:spacing w:before="100" w:after="100"/>
        <w:jc w:val="center"/>
      </w:pPr>
      <w:r>
        <w:rPr>
          <w:rFonts w:ascii="Cambria Math" w:hAnsi="Cambria Math"/>
          <w:sz w:val="24"/>
        </w:rPr>
        <w:t>H_s(x,t) = A(x,t) cos[kx - ωt + φ(x,t)]</w:t>
      </w:r>
      <w:r>
        <w:rPr>
          <w:sz w:val="18"/>
        </w:rPr>
        <w:t xml:space="preserve">    (1)</w:t>
      </w:r>
    </w:p>
    <w:p>
      <w:r>
        <w:t>For a three-dimensional field:</w:t>
      </w:r>
    </w:p>
    <w:p>
      <w:pPr>
        <w:spacing w:before="100" w:after="100"/>
        <w:jc w:val="center"/>
      </w:pPr>
      <w:r>
        <w:rPr>
          <w:rFonts w:ascii="Cambria Math" w:hAnsi="Cambria Math"/>
          <w:sz w:val="24"/>
        </w:rPr>
        <w:t>H_s(r,t) = A(r,t) cos[k · r - ωt + φ(r,t)]</w:t>
      </w:r>
      <w:r>
        <w:rPr>
          <w:sz w:val="18"/>
        </w:rPr>
        <w:t xml:space="preserve">    (2)</w:t>
      </w:r>
    </w:p>
    <w:p>
      <w:pPr>
        <w:pStyle w:val="ListBullet"/>
      </w:pPr>
      <w:r>
        <w:t>A(r,t): local field amplitude</w:t>
      </w:r>
    </w:p>
    <w:p>
      <w:pPr>
        <w:pStyle w:val="ListBullet"/>
      </w:pPr>
      <w:r>
        <w:t>k: wave vector, with magnitude |k| = 2π/λ</w:t>
      </w:r>
    </w:p>
    <w:p>
      <w:pPr>
        <w:pStyle w:val="ListBullet"/>
      </w:pPr>
      <w:r>
        <w:t>ω: angular frequency, with ω = 2πf</w:t>
      </w:r>
    </w:p>
    <w:p>
      <w:pPr>
        <w:pStyle w:val="ListBullet"/>
      </w:pPr>
      <w:r>
        <w:t>φ(r,t): local phase correction</w:t>
      </w:r>
    </w:p>
    <w:p>
      <w:pPr>
        <w:pStyle w:val="ListBullet"/>
      </w:pPr>
      <w:r>
        <w:t>λ: wavelength and f: ordinary frequency</w:t>
      </w:r>
    </w:p>
    <w:p>
      <w:pPr>
        <w:pStyle w:val="Heading1"/>
      </w:pPr>
      <w:r>
        <w:t>3. Harmonic Balance Operators</w:t>
      </w:r>
    </w:p>
    <w:p>
      <w:r>
        <w:t>The proposed balancing factors may be combined as a dimensionless modulation function:</w:t>
      </w:r>
    </w:p>
    <w:p>
      <w:pPr>
        <w:spacing w:before="100" w:after="100"/>
        <w:jc w:val="center"/>
      </w:pPr>
      <w:r>
        <w:rPr>
          <w:rFonts w:ascii="Cambria Math" w:hAnsi="Cambria Math"/>
          <w:sz w:val="24"/>
        </w:rPr>
        <w:t>B_H(r,t) = Z_NE(r,t) Z_NY(r,t) B_CG(r,t)</w:t>
      </w:r>
      <w:r>
        <w:rPr>
          <w:sz w:val="18"/>
        </w:rPr>
        <w:t xml:space="preserve">    (3)</w:t>
      </w:r>
    </w:p>
    <w:p>
      <w:pPr>
        <w:spacing w:before="100" w:after="100"/>
        <w:jc w:val="center"/>
      </w:pPr>
      <w:r>
        <w:rPr>
          <w:rFonts w:ascii="Cambria Math" w:hAnsi="Cambria Math"/>
          <w:sz w:val="24"/>
        </w:rPr>
        <w:t>H_s^(bal)(r,t) = B_H(r,t) H_s(r,t)</w:t>
      </w:r>
      <w:r>
        <w:rPr>
          <w:sz w:val="18"/>
        </w:rPr>
        <w:t xml:space="preserve">    (4)</w:t>
      </w:r>
    </w:p>
    <w:p>
      <w:r>
        <w:t>For dimensional consistency, Z_NE, Z_NY and B_CG must be dimensionless unless each is separately assigned physical units and a compensating scale constant.</w:t>
      </w:r>
    </w:p>
    <w:p>
      <w:pPr>
        <w:pStyle w:val="ListBullet"/>
      </w:pPr>
      <w:r>
        <w:t>Z_NE: a zero-noise or neutral-node correction factor, depending on the definition adopted in the manuscript</w:t>
      </w:r>
    </w:p>
    <w:p>
      <w:pPr>
        <w:pStyle w:val="ListBullet"/>
      </w:pPr>
      <w:r>
        <w:t>Z_NY: a proposed equilibrium or stabilisation factor</w:t>
      </w:r>
    </w:p>
    <w:p>
      <w:pPr>
        <w:pStyle w:val="ListBullet"/>
      </w:pPr>
      <w:r>
        <w:t>B_CG: the C &amp; G harmonic balance factor, associated conceptually with the perfect-fifth ratio 3:2</w:t>
      </w:r>
    </w:p>
    <w:p>
      <w:pPr>
        <w:pStyle w:val="Heading1"/>
      </w:pPr>
      <w:r>
        <w:t>4. C &amp; G Perfect-Fifth Balance</w:t>
      </w:r>
    </w:p>
    <w:p>
      <w:r>
        <w:t>Let the two reference frequencies satisfy the perfect-fifth condition:</w:t>
      </w:r>
    </w:p>
    <w:p>
      <w:pPr>
        <w:spacing w:before="100" w:after="100"/>
        <w:jc w:val="center"/>
      </w:pPr>
      <w:r>
        <w:rPr>
          <w:rFonts w:ascii="Cambria Math" w:hAnsi="Cambria Math"/>
          <w:sz w:val="24"/>
        </w:rPr>
        <w:t>f_G / f_C = 3/2</w:t>
      </w:r>
      <w:r>
        <w:rPr>
          <w:sz w:val="18"/>
        </w:rPr>
        <w:t xml:space="preserve">    (5)</w:t>
      </w:r>
    </w:p>
    <w:p>
      <w:r>
        <w:t>A simple mismatch variable is:</w:t>
      </w:r>
    </w:p>
    <w:p>
      <w:pPr>
        <w:spacing w:before="100" w:after="100"/>
        <w:jc w:val="center"/>
      </w:pPr>
      <w:r>
        <w:rPr>
          <w:rFonts w:ascii="Cambria Math" w:hAnsi="Cambria Math"/>
          <w:sz w:val="24"/>
        </w:rPr>
        <w:t>δ_CG = ln[(2 f_G)/(3 f_C)]</w:t>
      </w:r>
      <w:r>
        <w:rPr>
          <w:sz w:val="18"/>
        </w:rPr>
        <w:t xml:space="preserve">    (6)</w:t>
      </w:r>
    </w:p>
    <w:p>
      <w:r>
        <w:t>A bounded coherence factor can then be defined as:</w:t>
      </w:r>
    </w:p>
    <w:p>
      <w:pPr>
        <w:spacing w:before="100" w:after="100"/>
        <w:jc w:val="center"/>
      </w:pPr>
      <w:r>
        <w:rPr>
          <w:rFonts w:ascii="Cambria Math" w:hAnsi="Cambria Math"/>
          <w:sz w:val="24"/>
        </w:rPr>
        <w:t>B_CG = exp[-δ_CG²/(2σ_CG²)]</w:t>
      </w:r>
      <w:r>
        <w:rPr>
          <w:sz w:val="18"/>
        </w:rPr>
        <w:t xml:space="preserve">    (7)</w:t>
      </w:r>
    </w:p>
    <w:p>
      <w:r>
        <w:t>Here σ_CG controls the permitted deviation from the exact 3:2 relation. The factor reaches its maximum value B_CG = 1 when f_G/f_C = 3/2 and decreases smoothly as the frequency ratio departs from that balance.</w:t>
      </w:r>
    </w:p>
    <w:p>
      <w:pPr>
        <w:pStyle w:val="Heading1"/>
      </w:pPr>
      <w:r>
        <w:t>5. Phase Coherence</w:t>
      </w:r>
    </w:p>
    <w:p>
      <w:r>
        <w:t>For N interacting spectral components with phases φ_n, define the complex coherence order parameter:</w:t>
      </w:r>
    </w:p>
    <w:p>
      <w:pPr>
        <w:spacing w:before="100" w:after="100"/>
        <w:jc w:val="center"/>
      </w:pPr>
      <w:r>
        <w:rPr>
          <w:rFonts w:ascii="Cambria Math" w:hAnsi="Cambria Math"/>
          <w:sz w:val="24"/>
        </w:rPr>
        <w:t>R e^(iΨ) = (1/N) Σ_(n=1)^N e^(iφ_n)</w:t>
      </w:r>
      <w:r>
        <w:rPr>
          <w:sz w:val="18"/>
        </w:rPr>
        <w:t xml:space="preserve">    (8)</w:t>
      </w:r>
    </w:p>
    <w:p>
      <w:pPr>
        <w:spacing w:before="100" w:after="100"/>
        <w:jc w:val="center"/>
      </w:pPr>
      <w:r>
        <w:rPr>
          <w:rFonts w:ascii="Cambria Math" w:hAnsi="Cambria Math"/>
          <w:sz w:val="24"/>
        </w:rPr>
        <w:t>0 ≤ R ≤ 1</w:t>
      </w:r>
      <w:r>
        <w:rPr>
          <w:sz w:val="18"/>
        </w:rPr>
        <w:t xml:space="preserve">    (9)</w:t>
      </w:r>
    </w:p>
    <w:p>
      <w:r>
        <w:t>R = 1 represents ideal phase alignment; R near zero represents strong phase dispersion. A coherence-weighted Helispectral Field may therefore be written as:</w:t>
      </w:r>
    </w:p>
    <w:p>
      <w:pPr>
        <w:spacing w:before="100" w:after="100"/>
        <w:jc w:val="center"/>
      </w:pPr>
      <w:r>
        <w:rPr>
          <w:rFonts w:ascii="Cambria Math" w:hAnsi="Cambria Math"/>
          <w:sz w:val="24"/>
        </w:rPr>
        <w:t>H_s^(coh)(r,t) = R(r,t) B_H(r,t) H_s(r,t)</w:t>
      </w:r>
      <w:r>
        <w:rPr>
          <w:sz w:val="18"/>
        </w:rPr>
        <w:t xml:space="preserve">    (10)</w:t>
      </w:r>
    </w:p>
    <w:p>
      <w:pPr>
        <w:pStyle w:val="Heading1"/>
      </w:pPr>
      <w:r>
        <w:t>6. Spectral Decomposition</w:t>
      </w:r>
    </w:p>
    <w:p>
      <w:r>
        <w:t>The total field may be represented as a superposition of spectral modes:</w:t>
      </w:r>
    </w:p>
    <w:p>
      <w:pPr>
        <w:spacing w:before="100" w:after="100"/>
        <w:jc w:val="center"/>
      </w:pPr>
      <w:r>
        <w:rPr>
          <w:rFonts w:ascii="Cambria Math" w:hAnsi="Cambria Math"/>
          <w:sz w:val="24"/>
        </w:rPr>
        <w:t>H_s(r,t) = ∫_0^∞ A(ω,r) cos[k(ω) · r - ωt + φ(ω,r)] dω</w:t>
      </w:r>
      <w:r>
        <w:rPr>
          <w:sz w:val="18"/>
        </w:rPr>
        <w:t xml:space="preserve">    (11)</w:t>
      </w:r>
    </w:p>
    <w:p>
      <w:r>
        <w:t>The corresponding spectral energy density may be expressed proportionally as:</w:t>
      </w:r>
    </w:p>
    <w:p>
      <w:pPr>
        <w:spacing w:before="100" w:after="100"/>
        <w:jc w:val="center"/>
      </w:pPr>
      <w:r>
        <w:rPr>
          <w:rFonts w:ascii="Cambria Math" w:hAnsi="Cambria Math"/>
          <w:sz w:val="24"/>
        </w:rPr>
        <w:t>S_H(ω,r) ∝ |A(ω,r)|²</w:t>
      </w:r>
      <w:r>
        <w:rPr>
          <w:sz w:val="18"/>
        </w:rPr>
        <w:t xml:space="preserve">    (12)</w:t>
      </w:r>
    </w:p>
    <w:p>
      <w:r>
        <w:t>The total spectral intensity is then:</w:t>
      </w:r>
    </w:p>
    <w:p>
      <w:pPr>
        <w:spacing w:before="100" w:after="100"/>
        <w:jc w:val="center"/>
      </w:pPr>
      <w:r>
        <w:rPr>
          <w:rFonts w:ascii="Cambria Math" w:hAnsi="Cambria Math"/>
          <w:sz w:val="24"/>
        </w:rPr>
        <w:t>I_H(r) = ∫_0^∞ S_H(ω,r) dω</w:t>
      </w:r>
      <w:r>
        <w:rPr>
          <w:sz w:val="18"/>
        </w:rPr>
        <w:t xml:space="preserve">    (13)</w:t>
      </w:r>
    </w:p>
    <w:p>
      <w:pPr>
        <w:pStyle w:val="Heading1"/>
      </w:pPr>
      <w:r>
        <w:t>7. Propagation Equation</w:t>
      </w:r>
    </w:p>
    <w:p>
      <w:r>
        <w:t>A conventional wave-equation foundation is:</w:t>
      </w:r>
    </w:p>
    <w:p>
      <w:pPr>
        <w:spacing w:before="100" w:after="100"/>
        <w:jc w:val="center"/>
      </w:pPr>
      <w:r>
        <w:rPr>
          <w:rFonts w:ascii="Cambria Math" w:hAnsi="Cambria Math"/>
          <w:sz w:val="24"/>
        </w:rPr>
        <w:t>∇²H_s - (1/v²) ∂²H_s/∂t² = 0</w:t>
      </w:r>
      <w:r>
        <w:rPr>
          <w:sz w:val="18"/>
        </w:rPr>
        <w:t xml:space="preserve">    (14)</w:t>
      </w:r>
    </w:p>
    <w:p>
      <w:r>
        <w:t>A conceptual balanced and weakly damped extension is:</w:t>
      </w:r>
    </w:p>
    <w:p>
      <w:pPr>
        <w:spacing w:before="100" w:after="100"/>
        <w:jc w:val="center"/>
      </w:pPr>
      <w:r>
        <w:rPr>
          <w:rFonts w:ascii="Cambria Math" w:hAnsi="Cambria Math"/>
          <w:sz w:val="24"/>
        </w:rPr>
        <w:t>∇²H_s - (1/v²) ∂²H_s/∂t² - 2γ ∂H_s/∂t + V_H(r,t) H_s = J_H(r,t)</w:t>
      </w:r>
      <w:r>
        <w:rPr>
          <w:sz w:val="18"/>
        </w:rPr>
        <w:t xml:space="preserve">    (15)</w:t>
      </w:r>
    </w:p>
    <w:p>
      <w:pPr>
        <w:pStyle w:val="ListBullet"/>
      </w:pPr>
      <w:r>
        <w:t>v: propagation speed in the relevant medium or field model</w:t>
      </w:r>
    </w:p>
    <w:p>
      <w:pPr>
        <w:pStyle w:val="ListBullet"/>
      </w:pPr>
      <w:r>
        <w:t>γ: damping or decoherence coefficient</w:t>
      </w:r>
    </w:p>
    <w:p>
      <w:pPr>
        <w:pStyle w:val="ListBullet"/>
      </w:pPr>
      <w:r>
        <w:t>V_H: effective harmonic potential, which may encode Z_NE, Z_NY and C &amp; G balance</w:t>
      </w:r>
    </w:p>
    <w:p>
      <w:pPr>
        <w:pStyle w:val="ListBullet"/>
      </w:pPr>
      <w:r>
        <w:t>J_H: external source or driving term</w:t>
      </w:r>
    </w:p>
    <w:p>
      <w:pPr>
        <w:pStyle w:val="Heading1"/>
      </w:pPr>
      <w:r>
        <w:t>8. Effective Harmonic Potential</w:t>
      </w:r>
    </w:p>
    <w:p>
      <w:r>
        <w:t>One possible dimensionally consistent definition is:</w:t>
      </w:r>
    </w:p>
    <w:p>
      <w:pPr>
        <w:spacing w:before="100" w:after="100"/>
        <w:jc w:val="center"/>
      </w:pPr>
      <w:r>
        <w:rPr>
          <w:rFonts w:ascii="Cambria Math" w:hAnsi="Cambria Math"/>
          <w:sz w:val="24"/>
        </w:rPr>
        <w:t>V_H(r,t) = κ_H [1 - Z_NE Z_NY B_CG R]</w:t>
      </w:r>
      <w:r>
        <w:rPr>
          <w:sz w:val="18"/>
        </w:rPr>
        <w:t xml:space="preserve">    (16)</w:t>
      </w:r>
    </w:p>
    <w:p>
      <w:r>
        <w:t>κ_H must carry dimensions of inverse length squared in Equation (15). At ideal balance, Z_NE Z_NY B_CG R → 1, so the effective disturbance potential approaches zero.</w:t>
      </w:r>
    </w:p>
    <w:p>
      <w:pPr>
        <w:pStyle w:val="Heading1"/>
      </w:pPr>
      <w:r>
        <w:t>9. Energy-Like Functional</w:t>
      </w:r>
    </w:p>
    <w:p>
      <w:r>
        <w:t>For a scalar-field interpretation, an energy-like density can be defined as:</w:t>
      </w:r>
    </w:p>
    <w:p>
      <w:pPr>
        <w:spacing w:before="100" w:after="100"/>
        <w:jc w:val="center"/>
      </w:pPr>
      <w:r>
        <w:rPr>
          <w:rFonts w:ascii="Cambria Math" w:hAnsi="Cambria Math"/>
          <w:sz w:val="24"/>
        </w:rPr>
        <w:t>u_H = 1/2 [(1/v²)(∂H_s/∂t)² + |∇H_s|² + V_H H_s²]</w:t>
      </w:r>
      <w:r>
        <w:rPr>
          <w:sz w:val="18"/>
        </w:rPr>
        <w:t xml:space="preserve">    (17)</w:t>
      </w:r>
    </w:p>
    <w:p>
      <w:r>
        <w:t>The integrated field energy-like quantity is:</w:t>
      </w:r>
    </w:p>
    <w:p>
      <w:pPr>
        <w:spacing w:before="100" w:after="100"/>
        <w:jc w:val="center"/>
      </w:pPr>
      <w:r>
        <w:rPr>
          <w:rFonts w:ascii="Cambria Math" w:hAnsi="Cambria Math"/>
          <w:sz w:val="24"/>
        </w:rPr>
        <w:t>E_H(t) = ∫_Ω u_H(r,t) d³r</w:t>
      </w:r>
      <w:r>
        <w:rPr>
          <w:sz w:val="18"/>
        </w:rPr>
        <w:t xml:space="preserve">    (18)</w:t>
      </w:r>
    </w:p>
    <w:p>
      <w:r>
        <w:t>This expression is mathematically analogous to standard scalar-field energy functionals. It should not be interpreted as a new physical energy law unless the field units, coupling constants and experimentally measurable observables are explicitly defined.</w:t>
      </w:r>
    </w:p>
    <w:p>
      <w:pPr>
        <w:pStyle w:val="Heading1"/>
      </w:pPr>
      <w:r>
        <w:t>10. Compact Master Form</w:t>
      </w:r>
    </w:p>
    <w:p>
      <w:pPr>
        <w:spacing w:before="100" w:after="100"/>
        <w:jc w:val="center"/>
      </w:pPr>
      <w:r>
        <w:rPr>
          <w:rFonts w:ascii="Cambria Math" w:hAnsi="Cambria Math"/>
          <w:sz w:val="24"/>
        </w:rPr>
        <w:t>H_s^*(r,t) = R Z_NE Z_NY B_CG ∫_0^∞ A(ω,r) cos[k(ω)·r - ωt + φ(ω,r)] dω</w:t>
      </w:r>
      <w:r>
        <w:rPr>
          <w:sz w:val="18"/>
        </w:rPr>
        <w:t xml:space="preserve">    (19)</w:t>
      </w:r>
    </w:p>
    <w:p>
      <w:r>
        <w:t>Equation (19) condenses the proposed concept: spectral superposition supplies the full field, R measures phase coherence, Z_NE and Z_NY represent correction and equilibrium, and B_CG measures proximity to the C &amp; G perfect-fifth relation.</w:t>
      </w:r>
    </w:p>
    <w:p>
      <w:pPr>
        <w:pStyle w:val="Heading1"/>
      </w:pPr>
      <w:r>
        <w:t>11. Fundamental Principle</w:t>
      </w:r>
    </w:p>
    <w:p>
      <w:r>
        <w:rPr>
          <w:b/>
        </w:rPr>
        <w:t>A Helispectral Field represents the complete harmonic state of a propagating system. Its stability is proposed to increase when its spectral modes preserve phase coherence, its balancing operators approach unity, and its C &amp; G frequency relation approaches the perfect-fifth ratio 3:2.</w:t>
      </w:r>
    </w:p>
    <w:p>
      <w:pPr>
        <w:pStyle w:val="Heading1"/>
      </w:pPr>
      <w:r>
        <w:t>12. Scientific Status</w:t>
      </w:r>
    </w:p>
    <w:p>
      <w:r>
        <w:rPr>
          <w:rFonts w:ascii="Aptos" w:hAnsi="Aptos"/>
          <w:sz w:val="21"/>
        </w:rPr>
        <w:t>These equations form a conceptual model rather than a validated physical theory. Experimental development requires operational definitions and units for H_s, Z_NE and Z_NY, specified boundary conditions, measurable observables, and a numerical prediction that differs from established wave theory, quantum field theory or general relativity.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