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Disclosure</w:t>
      </w:r>
    </w:p>
    <w:p>
      <w:r>
        <w:rPr>
          <w:sz w:val="22"/>
        </w:rPr>
        <w:t>This monograph presents the Universal Harmonic Theory (UHT), an original theoretical framework developed by the author. The concepts, symbolic equations, mathematical definitions, and theoretical constructs contained within this work are proposed as a coherent foundation for further mathematical development, scientific discussion, and experimental investigation.</w:t>
      </w:r>
    </w:p>
    <w:p>
      <w:r>
        <w:rPr>
          <w:sz w:val="22"/>
        </w:rPr>
        <w:t>The Universal Harmonic Theory is not presented as a replacement for established scientific theories. Rather, it seeks to explore whether an underlying harmonic organisation may provide a broader conceptual framework within which existing descriptions of physical phenomena—including classical mechanics, electromagnetism, quantum field theory, and general relativity—can be interpreted as complementary expressions operating at different harmonic scales.</w:t>
      </w:r>
    </w:p>
    <w:p>
      <w:r>
        <w:rPr>
          <w:sz w:val="22"/>
        </w:rPr>
        <w:t>This monograph distinguishes between Established Scientific Theory, Theoretical Interpretation, and Original Hypotheses. The latter include the Universal Harmonic, ZNY Equilibrium, Scatter-Field Propagation, Dynamic Scattering, Dynamic Lensing, Harmonic Modulation, Intrinsic Harmonic Identity, Internal Harmonic Mass Redistribution, Harmonic Transparency, and related symbolic relationships. These hypotheses remain speculative and require mathematical development and empirical testing.</w:t>
      </w:r>
    </w:p>
    <w:p>
      <w:r>
        <w:rPr>
          <w:sz w:val="22"/>
        </w:rPr>
        <w:t>Throughout this volume, mathematical expressions should be understood as internal definitions and symbolic representations of the proposed framework unless explicitly identified as established physical laws.</w:t>
      </w:r>
    </w:p>
    <w:p>
      <w:r>
        <w:rPr>
          <w:sz w:val="22"/>
        </w:rPr>
        <w:t>The author welcomes constructive criticism, independent analysis, mathematical refinement, and experimental investigation. This work is offered in the spirit of open scientific inquiry and is dedicated to the peaceful advancement of knowledge for the benefit of humanity.</w:t>
      </w:r>
    </w:p>
    <w:p/>
    <w:p>
      <w:r>
        <w:t>Recommended placement: Immediately after the Ethical Statement and before the Abstract in Volume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