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Replacement Section: Harmonic Gravitation and Localised Balance</w:t>
      </w:r>
    </w:p>
    <w:p>
      <w:pPr>
        <w:pStyle w:val="Heading2"/>
      </w:pPr>
      <w:r>
        <w:t>Replacement Text</w:t>
      </w:r>
    </w:p>
    <w:p>
      <w:r>
        <w:t>This section replaces the earlier discussion of gravitation with a more consistent formulation of the Universal Harmonic Theory. The following material represents the author's proposed theoretical framework and is not established physical theory.</w:t>
      </w:r>
    </w:p>
    <w:p>
      <w:pPr>
        <w:pStyle w:val="Heading2"/>
      </w:pPr>
      <w:r>
        <w:t>Localised Harmonic Gravitational Spheres</w:t>
      </w:r>
    </w:p>
    <w:p>
      <w:r>
        <w:t>In this framework, gravitation is interpreted as a manifestation of harmonic organisation rather than a fundamental interaction in isolation. Localised gravitational spheres are proposed to operate within an outer harmonic layer that maintains structural equilibrium. Beneath this outer layer lies an inner harmonic core whose collective dynamics give rise to the observed magnetic field. The magnetic field is therefore interpreted as a resonant expression of the Universal Harmonic rather than an independent phenomenon.</w:t>
      </w:r>
    </w:p>
    <w:p>
      <w:pPr>
        <w:pStyle w:val="Heading2"/>
      </w:pPr>
      <w:r>
        <w:t>Harmonic Balance of Scale</w:t>
      </w:r>
    </w:p>
    <w:p>
      <w:r>
        <w:t>The resonance between the inner harmonic core and the outer gravitational layer establishes a localised balance of scale. Matter, fields and structure remain coherent through continual harmonic equilibrium (ZNY), while the Universal Harmonic itself remains conserved.</w:t>
      </w:r>
    </w:p>
    <w:p>
      <w:pPr>
        <w:pStyle w:val="Heading2"/>
      </w:pPr>
      <w:r>
        <w:t>Symbolic Relationships</w:t>
      </w:r>
    </w:p>
    <w:p>
      <w:pPr>
        <w:pStyle w:val="IntenseQuote"/>
      </w:pPr>
      <w:r>
        <w:t>ΔH_total = 0</w:t>
      </w:r>
    </w:p>
    <w:p>
      <w:pPr>
        <w:pStyle w:val="IntenseQuote"/>
      </w:pPr>
      <w:r>
        <w:t>H_local = H_core + H_shell</w:t>
      </w:r>
    </w:p>
    <w:p>
      <w:pPr>
        <w:pStyle w:val="IntenseQuote"/>
      </w:pPr>
      <w:r>
        <w:t>Res(H_core, H_shell) → G_H + M_H</w:t>
      </w:r>
    </w:p>
    <w:p>
      <w:pPr>
        <w:pStyle w:val="IntenseQuote"/>
      </w:pPr>
      <w:r>
        <w:t>ZNY(H_core, H_shell) → Stable Local Equilibrium</w:t>
      </w:r>
    </w:p>
    <w:p>
      <w:pPr>
        <w:pStyle w:val="IntenseQuote"/>
      </w:pPr>
      <w:r>
        <w:t>ΔForm ≠ 0  while  ΔH_total = 0</w:t>
      </w:r>
    </w:p>
    <w:p>
      <w:pPr>
        <w:pStyle w:val="Heading2"/>
      </w:pPr>
      <w:r>
        <w:t>Disruption of Harmonic Equilibrium</w:t>
      </w:r>
    </w:p>
    <w:p>
      <w:r>
        <w:t>Within this proposed framework, processes involving nuclear or atomic fragmentation are interpreted as strong disruptions of local harmonic equilibrium. Rather than representing only energetic particle interactions, such events are hypothesised to disturb the local harmonic balance, producing a transient pulse-wave response as the surrounding harmonic structure seeks a new equilibrium. This is presented as a theoretical hypothesis requiring independent mathematical development and experimental testing.</w:t>
      </w:r>
    </w:p>
    <w:p>
      <w:pPr>
        <w:pStyle w:val="Heading2"/>
      </w:pPr>
      <w:r>
        <w:t>Future Mathematical Development</w:t>
      </w:r>
    </w:p>
    <w:p>
      <w:r>
        <w:t>Future editions should define the operators governing H_core, H_shell, ZNY equilibrium, resonance, and pulse-wave propagation, together with explicit predictions that distinguish the framework from existing physical theories.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