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Universal Harmonic Theory</w:t>
        <w:br/>
        <w:t>Volume I Supplement</w:t>
      </w:r>
    </w:p>
    <w:p>
      <w:pPr>
        <w:pStyle w:val="Heading2"/>
      </w:pPr>
      <w:r>
        <w:t>Chapter 10 – Intrinsic Harmonic Preservation and Scatter-Field Transition</w:t>
      </w:r>
    </w:p>
    <w:p>
      <w:pPr>
        <w:pStyle w:val="Heading3"/>
      </w:pPr>
      <w:r>
        <w:t>10.1 Principle of Intrinsic Harmonic Preservation</w:t>
      </w:r>
    </w:p>
    <w:p>
      <w:r>
        <w:t>Within the Universal Harmonic Theory, every fundamental particle is proposed to possess an intrinsic harmonic identity that remains invariant. This intrinsic identity defines the particle's enduring harmonic character and is not altered by participation in harmonic processes.</w:t>
      </w:r>
    </w:p>
    <w:p>
      <w:pPr>
        <w:pStyle w:val="Heading3"/>
      </w:pPr>
      <w:r>
        <w:t>10.2 Scatter-Field Transition</w:t>
      </w:r>
    </w:p>
    <w:p>
      <w:r>
        <w:t>Scatter-field propagation is proposed to represent a transition in the mode of harmonic interaction rather than a transformation of the particle itself. The particle retains its intrinsic properties while entering a state of harmonic association with the surrounding Universal Harmonic. Accordingly, elemental identity, isotopic identity and intrinsic harmonic structure are preserved; only the interaction state is proposed to change.</w:t>
      </w:r>
    </w:p>
    <w:p>
      <w:pPr>
        <w:pStyle w:val="Heading3"/>
      </w:pPr>
      <w:r>
        <w:t>10.3 Harmonic Identity</w:t>
      </w:r>
    </w:p>
    <w:p>
      <w:r>
        <w:t>Within this framework, the transition into a scatter-field state does not imply loss of identity. Instead, the particle continues to exist as the same harmonic entity while participating in a different mode of harmonic organisation. Observable behaviour may differ because the surrounding harmonic equilibrium has changed, not because the particle has become a different entity.</w:t>
      </w:r>
    </w:p>
    <w:p>
      <w:pPr>
        <w:pStyle w:val="Heading3"/>
      </w:pPr>
      <w:r>
        <w:t>10.4 Symbolic Representation</w:t>
      </w:r>
    </w:p>
    <w:p>
      <w:pPr>
        <w:pStyle w:val="IntenseQuote"/>
      </w:pPr>
      <w:r>
        <w:t>Σᵢ  →₍Pₛ₎  Σᵢ*</w:t>
      </w:r>
    </w:p>
    <w:p>
      <w:pPr>
        <w:pStyle w:val="IntenseQuote"/>
      </w:pPr>
      <w:r>
        <w:t>I_H(Σᵢ) = I_H(Σᵢ*)</w:t>
      </w:r>
    </w:p>
    <w:p>
      <w:pPr>
        <w:pStyle w:val="IntenseQuote"/>
      </w:pPr>
      <w:r>
        <w:t>ΔH_total = 0</w:t>
      </w:r>
    </w:p>
    <w:p>
      <w:r>
        <w:t>where Σᵢ denotes the intrinsic harmonic configuration, Σᵢ* the same configuration expressed in a scatter-field interaction state, Pₛ the proposed scatter-field propagation process, and I_H the intrinsic harmonic identity.</w:t>
      </w:r>
    </w:p>
    <w:p>
      <w:pPr>
        <w:pStyle w:val="Heading3"/>
      </w:pPr>
      <w:r>
        <w:t>10.5 Relation to Emergence Through Divergence</w:t>
      </w:r>
    </w:p>
    <w:p>
      <w:r>
        <w:t>This principle supports the broader proposition that emergence occurs through divergence of harmonic organisation. New observable configurations arise through changing harmonic relationships while the underlying harmonic identity and the total Universal Harmonic remain conserved.</w:t>
      </w:r>
    </w:p>
    <w:p>
      <w:pPr>
        <w:pStyle w:val="Heading3"/>
      </w:pPr>
      <w:r>
        <w:t>Editorial Note</w:t>
      </w:r>
    </w:p>
    <w:p>
      <w:r>
        <w:t>The concepts in this chapter are original hypotheses within the proposed Universal Harmonic Theory. They are intended as theoretical constructs for future mathematical development and empirical testing and are not established results of contemporary physics.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