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 Supplement</w:t>
      </w:r>
    </w:p>
    <w:p>
      <w:pPr>
        <w:pStyle w:val="Heading2"/>
      </w:pPr>
      <w:r>
        <w:t>Chapter 11 – Dynamic Scattering and Harmonic Lensing</w:t>
      </w:r>
    </w:p>
    <w:p>
      <w:r>
        <w:t>This chapter introduces Dynamic Scattering and Dynamic Lensing as proposed concepts within the Universal Harmonic Theory. References to experimentally established scattering phenomena are used only as points of comparison. The harmonic interpretation presented here is a theoretical proposal requiring mathematical development and experimental investigation.</w:t>
      </w:r>
    </w:p>
    <w:p>
      <w:pPr>
        <w:pStyle w:val="Heading3"/>
      </w:pPr>
      <w:r>
        <w:t>11.1 Conceptual Basis</w:t>
      </w:r>
    </w:p>
    <w:p>
      <w:r>
        <w:t>Within this framework, observed scattering phenomena are interpreted as local expressions of a deeper harmonic organisation. Scatter-field propagation provides the proposed mechanism through which harmonic relationships redistribute while preserving intrinsic harmonic identity.</w:t>
      </w:r>
    </w:p>
    <w:p>
      <w:pPr>
        <w:pStyle w:val="Heading3"/>
      </w:pPr>
      <w:r>
        <w:t>11.2 Dynamic Scattering</w:t>
      </w:r>
    </w:p>
    <w:p>
      <w:r>
        <w:t>Dynamic Scattering is proposed as the harmonic redistribution of local equilibrium. The intrinsic harmonic identity of matter is preserved while the harmonic interaction state evolves.</w:t>
      </w:r>
    </w:p>
    <w:p>
      <w:pPr>
        <w:pStyle w:val="Heading3"/>
      </w:pPr>
      <w:r>
        <w:t>11.3 Dynamic Lensing</w:t>
      </w:r>
    </w:p>
    <w:p>
      <w:r>
        <w:t>Dynamic Lensing is proposed as the complementary focusing process by which harmonic equilibrium organises local field structure. Together, Dynamic Scattering and Dynamic Lensing contribute to local harmonic balance.</w:t>
      </w:r>
    </w:p>
    <w:p>
      <w:pPr>
        <w:pStyle w:val="Heading3"/>
      </w:pPr>
      <w:r>
        <w:t>11.4 Proposed Symbolic Relationships</w:t>
      </w:r>
    </w:p>
    <w:p>
      <w:pPr>
        <w:pStyle w:val="IntenseQuote"/>
      </w:pPr>
      <w:r>
        <w:t>Eq. (11.1)   H → {R_S , D_S , D_L}</w:t>
      </w:r>
    </w:p>
    <w:p>
      <w:pPr>
        <w:pStyle w:val="IntenseQuote"/>
      </w:pPr>
      <w:r>
        <w:t>Eq. (11.2)   ZNY(R_S, D_S, D_L) → H_eq</w:t>
      </w:r>
    </w:p>
    <w:p>
      <w:pPr>
        <w:pStyle w:val="IntenseQuote"/>
      </w:pPr>
      <w:r>
        <w:t>Eq. (11.3)   P_S : H_local ↔ H</w:t>
      </w:r>
    </w:p>
    <w:p>
      <w:pPr>
        <w:pStyle w:val="IntenseQuote"/>
      </w:pPr>
      <w:r>
        <w:t>Eq. (11.4)   I_H(Σ_i) = I_H(Σ_i*)</w:t>
      </w:r>
    </w:p>
    <w:p>
      <w:pPr>
        <w:pStyle w:val="IntenseQuote"/>
      </w:pPr>
      <w:r>
        <w:t>Eq. (11.5)   ΔH_total = 0</w:t>
      </w:r>
    </w:p>
    <w:p>
      <w:pPr>
        <w:pStyle w:val="IntenseQuote"/>
      </w:pPr>
      <w:r>
        <w:t>Eq. (11.6)   ΔForm ≠ 0    while    ΔH_total = 0</w:t>
      </w:r>
    </w:p>
    <w:p>
      <w:pPr>
        <w:pStyle w:val="Heading3"/>
      </w:pPr>
      <w:r>
        <w:t>11.5 Harmonic Interpretation</w:t>
      </w:r>
    </w:p>
    <w:p>
      <w:r>
        <w:t>Within the proposed framework, experimentally observed scattering (including Rutherford scattering) is regarded as compatible with established physics while also being interpreted as one observable manifestation of deeper harmonic organisation. Dynamic Scattering and Dynamic Lensing are introduced as original theoretical constructs that extend the framework and are not established physical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