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 Supplement</w:t>
        <w:br/>
        <w:t>Chapter 9: Harmonic Formation of Matter (Revised)</w:t>
      </w:r>
    </w:p>
    <w:p>
      <w:pPr>
        <w:pStyle w:val="Heading2"/>
      </w:pPr>
      <w:r>
        <w:t>9.1 Harmonic Emergence of Matter</w:t>
      </w:r>
    </w:p>
    <w:p>
      <w:r>
        <w:t>Within the Universal Harmonic Theory, stable matter is proposed to emerge through the interaction of scatter-field dynamics with the Universal Harmonic. Elements and isotopes are interpreted as enduring harmonic configurations that arise from resonant equilibrium. Each element is proposed to possess an intrinsic harmonic identity that remains preserved throughout its existence, while isotopes represent alternative stable harmonic configurations of the same underlying elemental identity.</w:t>
        <w:br/>
        <w:br/>
        <w:t>Proposed relationship:</w:t>
        <w:br/>
        <w:t>H + Pₛ → Σᵢ</w:t>
      </w:r>
    </w:p>
    <w:p>
      <w:pPr>
        <w:pStyle w:val="Heading2"/>
      </w:pPr>
      <w:r>
        <w:t>9.2 Conservation of Harmonic Identity</w:t>
      </w:r>
    </w:p>
    <w:p>
      <w:r>
        <w:t>Observable configurations may change while the underlying Universal Harmonic remains invariant. Structural change is therefore interpreted as harmonic reorganisation rather than creation or destruction of the harmonic whole.</w:t>
        <w:br/>
        <w:br/>
        <w:t>ΔΣᵢ ≠ 0    while    ΔH_total = 0</w:t>
      </w:r>
    </w:p>
    <w:p>
      <w:pPr>
        <w:pStyle w:val="Heading2"/>
      </w:pPr>
      <w:r>
        <w:t>9.3 Harmonic Gravito-Magnetic Coupling</w:t>
      </w:r>
    </w:p>
    <w:p>
      <w:r>
        <w:t>The framework proposes that gravitation and magnetism are complementary manifestations of deeper harmonic organisation. Strongly magnetic materials, including naturally magnetised minerals and ferromagnetic metals, are hypothesised to retain a persistent harmonic relationship between magnetic behaviour and local gravitational equilibrium.</w:t>
        <w:br/>
        <w:br/>
        <w:t>G_H ↔ M_H</w:t>
      </w:r>
    </w:p>
    <w:p>
      <w:pPr>
        <w:pStyle w:val="Heading2"/>
      </w:pPr>
      <w:r>
        <w:t>9.4 Harmonic Behaviour at Small Scales</w:t>
      </w:r>
    </w:p>
    <w:p>
      <w:r>
        <w:t>The theory further hypothesises that, at sufficiently small scales, particular harmonic configurations of strongly magnetically ordered matter may exhibit behaviour differing from classical gravitational expectations because of harmonic organisation. Within this framework, any apparent reduction or modification of gravitational behaviour is interpreted as a consequence of harmonic coupling rather than cancellation of gravity itself. This is presented as a theoretical prediction requiring mathematical development and experimental investigation.</w:t>
      </w:r>
    </w:p>
    <w:p>
      <w:pPr>
        <w:pStyle w:val="Heading2"/>
      </w:pPr>
      <w:r>
        <w:t>Editorial Note</w:t>
      </w:r>
    </w:p>
    <w:p>
      <w:r>
        <w:t>This chapter presents proposed hypotheses within the Universal Harmonic Theory and is intended for further mathematical development and empirical testing rather than as established scientific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