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15</w:t>
        <w:br/>
        <w:t>Unified Harmonic Lensing, Scatter Fields and Resonant Spatial Equilibrium</w:t>
      </w:r>
    </w:p>
    <w:p>
      <w:r>
        <w:rPr>
          <w:b/>
        </w:rPr>
        <w:t xml:space="preserve">Editorial note. </w:t>
      </w:r>
      <w:r>
        <w:t>This chapter presents the author's proposed theoretical framework. The concepts are speculative hypotheses intended for exploration and future testing rather than established scientific conclusions.</w:t>
      </w:r>
    </w:p>
    <w:p>
      <w:pPr>
        <w:pStyle w:val="Heading3"/>
      </w:pPr>
      <w:r>
        <w:t>15.1 Introduction</w:t>
      </w:r>
    </w:p>
    <w:p>
      <w:r>
        <w:t>The Universal Harmonic Theory proposes that observed physical phenomena emerge from a deeper harmonic structure. In this framework, gravitation, electromagnetic behaviour, quantum coherence and spatial relationships are viewed as different manifestations of an underlying harmonic equilibrium.</w:t>
      </w:r>
    </w:p>
    <w:p>
      <w:pPr>
        <w:pStyle w:val="Heading3"/>
      </w:pPr>
      <w:r>
        <w:t>15.2 Harmonic Equilibrium</w:t>
      </w:r>
    </w:p>
    <w:p>
      <w:r>
        <w:t>The conceptual relationship Y − X = E represents a balanced state between opposing harmonic components. Equilibrium is viewed as dynamic rather than static, continually maintained through harmonic interaction. ZNY denotes the proposed equilibrium state in which opposing components remain coherent.</w:t>
      </w:r>
    </w:p>
    <w:p>
      <w:pPr>
        <w:pStyle w:val="Heading3"/>
      </w:pPr>
      <w:r>
        <w:t>15.3 Direction and Indirection</w:t>
      </w:r>
    </w:p>
    <w:p>
      <w:r>
        <w:t>Direct harmonic propagation transfers coherence along the principal harmonic path. Indirect propagation redistributes coherence through secondary pathways while preserving the integrity of the larger harmonic field.</w:t>
      </w:r>
    </w:p>
    <w:p>
      <w:pPr>
        <w:pStyle w:val="Heading3"/>
      </w:pPr>
      <w:r>
        <w:t>15.4 Quantum Scatter Fields</w:t>
      </w:r>
    </w:p>
    <w:p>
      <w:r>
        <w:t>Particles are hypothesised to retain their identity while their internal harmonic distribution may be redistributed within a coherent field. Scatter is therefore interpreted as a reversible redistribution rather than destruction of structure.</w:t>
      </w:r>
    </w:p>
    <w:p>
      <w:pPr>
        <w:pStyle w:val="Heading3"/>
      </w:pPr>
      <w:r>
        <w:t>15.5 Spatial Harmonic Lensing</w:t>
      </w:r>
    </w:p>
    <w:p>
      <w:r>
        <w:t>Spatial lensing is proposed to arise from harmonic redistribution of field geometry. Apparent changes in trajectory or localisation are interpreted as consequences of harmonic balance rather than purely geometric curvature.</w:t>
      </w:r>
    </w:p>
    <w:p>
      <w:pPr>
        <w:pStyle w:val="Heading3"/>
      </w:pPr>
      <w:r>
        <w:t>15.6 Spherical Planar Magnetic Resonance</w:t>
      </w:r>
    </w:p>
    <w:p>
      <w:r>
        <w:t>A spherical harmonic region embedded within a planar magnetic environment is proposed to establish a resonant boundary. Under this hypothesis, magnetic resonance contributes to harmonic equilibrium and may reduce the effective interaction with the local gravitational environment through field balancing rather than cancellation of gravity.</w:t>
      </w:r>
    </w:p>
    <w:p>
      <w:pPr>
        <w:pStyle w:val="Heading3"/>
      </w:pPr>
      <w:r>
        <w:t>15.7 Harmonic Quantum Balance</w:t>
      </w:r>
    </w:p>
    <w:p>
      <w:r>
        <w:t>The theory proposes that coherent harmonic resonance links local and non-local behaviour through a unified field. Entanglement, coherence and redistribution are interpreted as different expressions of the same harmonic organisation.</w:t>
      </w:r>
    </w:p>
    <w:p>
      <w:pPr>
        <w:pStyle w:val="Heading3"/>
      </w:pPr>
      <w:r>
        <w:t>15.8 Unified Framework</w:t>
      </w:r>
    </w:p>
    <w:p>
      <w:r>
        <w:t>Together these concepts describe a single conceptual model in which harmonic equilibrium governs coherence, field redistribution, resonance and emergent physical behaviour. Future development would require explicit mathematical definitions and experimentally testable predictions.</w:t>
      </w:r>
    </w:p>
    <w:p>
      <w:pPr>
        <w:pStyle w:val="Heading3"/>
      </w:pPr>
      <w:r>
        <w:t>Conceptual Relationships</w:t>
      </w:r>
    </w:p>
    <w:p>
      <w:r>
        <w:t>Y − X = E</w:t>
        <w:br/>
        <w:br/>
        <w:t>Sp + Mr → Hb − Gf</w:t>
        <w:br/>
        <w:br/>
        <w:t>Sp = spherical planar harmonic form</w:t>
        <w:br/>
        <w:t>Mr = magnetic resonance</w:t>
        <w:br/>
        <w:t>Hb = harmonic balance</w:t>
        <w:br/>
        <w:t>Gf = local gravitational interaction</w:t>
        <w:br/>
        <w:br/>
        <w:t>ZNY = proposed harmonic equilibrium state.</w:t>
      </w:r>
    </w:p>
    <w:p>
      <w:pPr>
        <w:pStyle w:val="Heading3"/>
      </w:pPr>
      <w:r>
        <w:t>Closing Remarks</w:t>
      </w:r>
    </w:p>
    <w:p>
      <w:r>
        <w:t>This chapter consolidates the principal ideas developed for Chapter 15 into a single editorial narrative suitable for subsequent refinement. Future editions can expand each section with formal mathematical definitions, derivations, diagrams and explicit predictions that distinguish conceptual proposals from empirically validated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