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Universal Harmonic Theory – Volume I</w:t>
      </w:r>
    </w:p>
    <w:p>
      <w:pPr>
        <w:pStyle w:val="Heading2"/>
      </w:pPr>
      <w:r>
        <w:t>Definitive First Edition</w:t>
      </w:r>
    </w:p>
    <w:p>
      <w:pPr>
        <w:pStyle w:val="Heading2"/>
      </w:pPr>
      <w:r>
        <w:t>Chapter 1 – Introduction to the Universal Harmonic Theory</w:t>
      </w:r>
    </w:p>
    <w:p>
      <w:pPr>
        <w:pStyle w:val="Heading3"/>
      </w:pPr>
      <w:r>
        <w:t>1.1 Purpose</w:t>
      </w:r>
    </w:p>
    <w:p>
      <w:r>
        <w:t>For centuries, physics has sought unified descriptions of matter, energy, gravitation and quantum phenomena. Universal Harmonic Theory (UHT) proposes a different starting point: that an underlying harmonic organisation precedes observable physical structure. This volume presents that proposal as a conceptual framework for future mathematical development and empirical investigation.</w:t>
      </w:r>
    </w:p>
    <w:p>
      <w:pPr>
        <w:pStyle w:val="Heading3"/>
      </w:pPr>
      <w:r>
        <w:t>1.2 Historical Perspective</w:t>
      </w:r>
    </w:p>
    <w:p>
      <w:r>
        <w:t>Rather than replacing established physics, UHT is intended as an interpretive framework that seeks common organising principles behind phenomena described by classical mechanics, quantum theory and general relativity. Existing theories remain valid within their established domains.</w:t>
      </w:r>
    </w:p>
    <w:p>
      <w:pPr>
        <w:pStyle w:val="Heading3"/>
      </w:pPr>
      <w:r>
        <w:t>1.3 Central Proposition</w:t>
      </w:r>
    </w:p>
    <w:p>
      <w:r>
        <w:t>Observable physical reality is proposed to emerge from an underlying Universal Harmonic. Stable systems persist through dynamic harmonic equilibrium, while physical change represents redistribution of harmonic organisation rather than creation or destruction of the underlying harmonic substrate.</w:t>
      </w:r>
    </w:p>
    <w:p>
      <w:pPr>
        <w:pStyle w:val="Heading3"/>
      </w:pPr>
      <w:r>
        <w:t>1.4 Scope</w:t>
      </w:r>
    </w:p>
    <w:p>
      <w:r>
        <w:t>This manuscript distinguishes established scientific knowledge from original hypotheses. Definitions, symbolic relationships and conceptual equations are introduced as elements of the proposed framework and are not presented as experimentally verified physical laws.</w:t>
      </w:r>
    </w:p>
    <w:p>
      <w:pPr>
        <w:pStyle w:val="Heading3"/>
      </w:pPr>
      <w:r>
        <w:t>1.5 The Universal Harmonic</w:t>
      </w:r>
    </w:p>
    <w:p>
      <w:r>
        <w:t>The Universal Harmonic, denoted H, is introduced as the proposed organising principle underlying coherent physical structure. Within the framework it is neither a conventional force nor a conventional field, but a conceptual basis for harmonic organisation.</w:t>
      </w:r>
    </w:p>
    <w:p>
      <w:pPr>
        <w:pStyle w:val="Heading3"/>
      </w:pPr>
      <w:r>
        <w:t>1.6 Dynamic Equilibrium</w:t>
      </w:r>
    </w:p>
    <w:p>
      <w:r>
        <w:t>Equilibrium is interpreted as continual harmonic adjustment rather than static inactivity. Stability is maintained through persistent harmonic balance across multiple scales.</w:t>
      </w:r>
    </w:p>
    <w:p>
      <w:pPr>
        <w:pStyle w:val="Heading3"/>
      </w:pPr>
      <w:r>
        <w:t>1.7 ZNY Equilibrium</w:t>
      </w:r>
    </w:p>
    <w:p>
      <w:r>
        <w:t>ZNY denotes the proposed harmonic equilibrium state in which opposing harmonic relationships remain balanced. It provides the conceptual reference condition for later chapters discussing redistribution, resonance and coherence.</w:t>
      </w:r>
    </w:p>
    <w:p>
      <w:pPr>
        <w:pStyle w:val="Heading3"/>
      </w:pPr>
      <w:r>
        <w:t>1.8 Emergence Through Divergence</w:t>
      </w:r>
    </w:p>
    <w:p>
      <w:r>
        <w:t>Complexity is proposed to arise through controlled divergence from harmonic equilibrium while preserving the integrity of the underlying harmonic whole. This principle links microscopic organisation with macroscopic structure within the proposed framework.</w:t>
      </w:r>
    </w:p>
    <w:p>
      <w:pPr>
        <w:pStyle w:val="Heading3"/>
      </w:pPr>
      <w:r>
        <w:t>1.9 Editorial Statement</w:t>
      </w:r>
    </w:p>
    <w:p>
      <w:r>
        <w:t>This first edition establishes a consistent conceptual language for future refinement. Subsequent chapters develop harmonic geometry, scatter-field propagation, gravitation, resonance and proposed mathematical relationships while identifying areas requiring further theoretical and experimental investigation.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