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 – Volume I</w:t>
      </w:r>
    </w:p>
    <w:p>
      <w:pPr>
        <w:pStyle w:val="Heading2"/>
      </w:pPr>
      <w:r>
        <w:t>Definitive First Edition</w:t>
      </w:r>
    </w:p>
    <w:p>
      <w:pPr>
        <w:pStyle w:val="Heading2"/>
      </w:pPr>
      <w:r>
        <w:t>Chapter 2 – Relationship to Established Physics</w:t>
      </w:r>
    </w:p>
    <w:p>
      <w:r>
        <w:rPr>
          <w:b/>
        </w:rPr>
        <w:t xml:space="preserve">Editorial note. </w:t>
      </w:r>
      <w:r>
        <w:t>This chapter distinguishes established scientific theories from the conceptual proposals of the Universal Harmonic Theory (UHT). References to UHT describe hypotheses and interpretations requiring further mathematical development and empirical testing.</w:t>
      </w:r>
    </w:p>
    <w:p>
      <w:pPr>
        <w:pStyle w:val="Heading3"/>
      </w:pPr>
      <w:r>
        <w:t>2.1 Purpose</w:t>
      </w:r>
    </w:p>
    <w:p>
      <w:r>
        <w:t>The purpose of this chapter is to position Universal Harmonic Theory alongside contemporary physics. The framework is presented as a conceptual proposal that seeks an underlying organising principle rather than a replacement for established scientific theories.</w:t>
      </w:r>
    </w:p>
    <w:p>
      <w:pPr>
        <w:pStyle w:val="Heading3"/>
      </w:pPr>
      <w:r>
        <w:t>2.2 Classical Mechanics</w:t>
      </w:r>
    </w:p>
    <w:p>
      <w:r>
        <w:t>Classical mechanics accurately describes the motion of macroscopic systems within its domain of applicability. UHT accepts these results while proposing that the observed regularities may emerge from a deeper harmonic organisation.</w:t>
      </w:r>
    </w:p>
    <w:p>
      <w:pPr>
        <w:pStyle w:val="Heading3"/>
      </w:pPr>
      <w:r>
        <w:t>2.3 Electromagnetism</w:t>
      </w:r>
    </w:p>
    <w:p>
      <w:r>
        <w:t>Electromagnetic theory provides a successful mathematical description of electric and magnetic fields. Within UHT these phenomena are interpreted as coherent manifestations of an underlying harmonic structure rather than isolated interactions.</w:t>
      </w:r>
    </w:p>
    <w:p>
      <w:pPr>
        <w:pStyle w:val="Heading3"/>
      </w:pPr>
      <w:r>
        <w:t>2.4 Quantum Theory</w:t>
      </w:r>
    </w:p>
    <w:p>
      <w:r>
        <w:t>Quantum mechanics and quantum field theory provide predictive models for microscopic phenomena. UHT does not replace these theories; instead it proposes that coherence, entanglement and field behaviour may reflect a deeper harmonic equilibrium represented conceptually by the symbol ZNY.</w:t>
      </w:r>
    </w:p>
    <w:p>
      <w:pPr>
        <w:pStyle w:val="Heading3"/>
      </w:pPr>
      <w:r>
        <w:t>2.5 Gravitation</w:t>
      </w:r>
    </w:p>
    <w:p>
      <w:r>
        <w:t>General relativity explains gravitation through spacetime curvature and has extensive observational support. UHT treats this as the established description while proposing, as a hypothesis, that gravitational behaviour may be interpreted as an emergent expression of harmonic equilibrium.</w:t>
      </w:r>
    </w:p>
    <w:p>
      <w:pPr>
        <w:pStyle w:val="Heading3"/>
      </w:pPr>
      <w:r>
        <w:t>2.6 Complementarity</w:t>
      </w:r>
    </w:p>
    <w:p>
      <w:r>
        <w:t>The framework therefore seeks complementarity rather than contradiction. Established theories remain the appropriate predictive tools within their tested domains, while UHT offers an additional interpretive layer intended for future investigation.</w:t>
      </w:r>
    </w:p>
    <w:p>
      <w:pPr>
        <w:pStyle w:val="Heading3"/>
      </w:pPr>
      <w:r>
        <w:t>2.7 Scientific Method</w:t>
      </w:r>
    </w:p>
    <w:p>
      <w:r>
        <w:t>The long-term value of any new theoretical framework depends on internal consistency, mathematical formulation and experimentally testable predictions. Future chapters develop conceptual notation, definitions and hypotheses intended to support that programme of research.</w:t>
      </w:r>
    </w:p>
    <w:p>
      <w:pPr>
        <w:pStyle w:val="Heading3"/>
      </w:pPr>
      <w:r>
        <w:t>2.8 Transition</w:t>
      </w:r>
    </w:p>
    <w:p>
      <w:r>
        <w:t>Having established the relationship between UHT and existing scientific theory, the next chapter introduces the foundational axioms that define the internal structure of the proposed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