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Universal Harmonic Theory – Volume I</w:t>
      </w:r>
    </w:p>
    <w:p>
      <w:pPr>
        <w:pStyle w:val="Heading2"/>
      </w:pPr>
      <w:r>
        <w:t>Definitive First Edition</w:t>
      </w:r>
    </w:p>
    <w:p>
      <w:pPr>
        <w:pStyle w:val="Heading2"/>
      </w:pPr>
      <w:r>
        <w:t>Chapter 3 – Foundational Harmonic Axioms</w:t>
      </w:r>
    </w:p>
    <w:p>
      <w:r>
        <w:rPr>
          <w:b/>
        </w:rPr>
        <w:t xml:space="preserve">Editorial note. </w:t>
      </w:r>
      <w:r>
        <w:t>This chapter defines the internal axioms of the proposed Universal Harmonic Theory. These axioms are conceptual postulates forming the framework of the theory and are not established scientific laws.</w:t>
      </w:r>
    </w:p>
    <w:p>
      <w:pPr>
        <w:pStyle w:val="Heading3"/>
      </w:pPr>
      <w:r>
        <w:t>3.1 Purpose</w:t>
      </w:r>
    </w:p>
    <w:p>
      <w:r>
        <w:t>Every theoretical framework requires a consistent set of foundational assumptions. The axioms presented here define the conceptual language used throughout the remainder of the manuscript.</w:t>
      </w:r>
    </w:p>
    <w:p>
      <w:pPr>
        <w:pStyle w:val="Heading3"/>
      </w:pPr>
      <w:r>
        <w:t>3.2 Axiom I – Universal Harmonic</w:t>
      </w:r>
    </w:p>
    <w:p>
      <w:r>
        <w:t>The Universal Harmonic (H) is proposed as the fundamental organising principle from which coherent physical structures emerge.</w:t>
      </w:r>
    </w:p>
    <w:p>
      <w:pPr>
        <w:pStyle w:val="Heading3"/>
      </w:pPr>
      <w:r>
        <w:t>3.3 Axiom II – Harmonic Conservation</w:t>
      </w:r>
    </w:p>
    <w:p>
      <w:r>
        <w:t>The total harmonic organisation is proposed to remain conserved while local configurations evolve through redistribution rather than creation or destruction of the underlying harmonic substrate.</w:t>
      </w:r>
    </w:p>
    <w:p>
      <w:pPr>
        <w:pStyle w:val="Heading3"/>
      </w:pPr>
      <w:r>
        <w:t>3.4 Axiom III – ZNY Equilibrium</w:t>
      </w:r>
    </w:p>
    <w:p>
      <w:r>
        <w:t>ZNY denotes the proposed equilibrium condition in which opposing harmonic relationships remain dynamically balanced. Stability is interpreted as continual equilibrium rather than static inactivity.</w:t>
      </w:r>
    </w:p>
    <w:p>
      <w:pPr>
        <w:pStyle w:val="Heading3"/>
      </w:pPr>
      <w:r>
        <w:t>3.5 Axiom IV – Emergence Through Divergence</w:t>
      </w:r>
    </w:p>
    <w:p>
      <w:r>
        <w:t>Observable complexity is proposed to arise through divergence from equilibrium while preserving the integrity of the underlying harmonic whole.</w:t>
      </w:r>
    </w:p>
    <w:p>
      <w:pPr>
        <w:pStyle w:val="Heading3"/>
      </w:pPr>
      <w:r>
        <w:t>3.6 Axiom V – Harmonic Identity</w:t>
      </w:r>
    </w:p>
    <w:p>
      <w:r>
        <w:t>Each coherent system is proposed to possess an intrinsic harmonic identity that persists during redistribution, resonance and scatter-field processes within the framework.</w:t>
      </w:r>
    </w:p>
    <w:p>
      <w:pPr>
        <w:pStyle w:val="Heading3"/>
      </w:pPr>
      <w:r>
        <w:t>3.7 Axiom VI – Harmonic Scale</w:t>
      </w:r>
    </w:p>
    <w:p>
      <w:r>
        <w:t>Macroscopic and microscopic behaviour are interpreted as different expressions of the same harmonic organisation acting across different scales.</w:t>
      </w:r>
    </w:p>
    <w:p>
      <w:pPr>
        <w:pStyle w:val="Heading3"/>
      </w:pPr>
      <w:r>
        <w:t>3.8 Conceptual Relationships</w:t>
      </w:r>
    </w:p>
    <w:p>
      <w:r>
        <w:t>Core symbolic relationships used throughout the manuscript include:</w:t>
        <w:br/>
        <w:br/>
        <w:t>H = Universal Harmonic</w:t>
        <w:br/>
        <w:br/>
        <w:t>Y − X = E</w:t>
        <w:br/>
        <w:br/>
        <w:t>ZNY = proposed harmonic equilibrium state</w:t>
        <w:br/>
        <w:br/>
        <w:t>These expressions provide a common symbolic language and are intended for later mathematical development.</w:t>
      </w:r>
    </w:p>
    <w:p>
      <w:pPr>
        <w:pStyle w:val="Heading3"/>
      </w:pPr>
      <w:r>
        <w:t>3.9 Transition</w:t>
      </w:r>
    </w:p>
    <w:p>
      <w:r>
        <w:t>The next chapter develops the Universal Harmonic Field, extending these axioms into a proposed description of coherent field organisation.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