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Definitive First Edition</w:t>
      </w:r>
    </w:p>
    <w:p>
      <w:pPr>
        <w:pStyle w:val="Heading2"/>
      </w:pPr>
      <w:r>
        <w:t>Chapter 4 – The Universal Harmonic Field</w:t>
      </w:r>
    </w:p>
    <w:p>
      <w:r>
        <w:rPr>
          <w:b/>
        </w:rPr>
        <w:t xml:space="preserve">Editorial note. </w:t>
      </w:r>
      <w:r>
        <w:t>This chapter develops the proposed concept of the Universal Harmonic Field within the Universal Harmonic Theory (UHT). The ideas presented are conceptual hypotheses intended to provide an internal framework for discussion and future mathematical and experimental investigation.</w:t>
      </w:r>
    </w:p>
    <w:p>
      <w:pPr>
        <w:pStyle w:val="Heading3"/>
      </w:pPr>
      <w:r>
        <w:t>4.1 Introduction</w:t>
      </w:r>
    </w:p>
    <w:p>
      <w:r>
        <w:t>The Universal Harmonic Field is proposed as the organising framework from which coherent physical structure emerges. Within UHT it is not defined as a conventional force field, but as the underlying harmonic organisation through which physical relationships are maintained.</w:t>
      </w:r>
    </w:p>
    <w:p>
      <w:pPr>
        <w:pStyle w:val="Heading3"/>
      </w:pPr>
      <w:r>
        <w:t>4.2 Field Organisation</w:t>
      </w:r>
    </w:p>
    <w:p>
      <w:r>
        <w:t>The field is proposed to be continuous and dynamically self-balancing. Localised systems are interpreted as coherent regions maintained through harmonic equilibrium rather than isolated entities existing independently of their surroundings.</w:t>
      </w:r>
    </w:p>
    <w:p>
      <w:pPr>
        <w:pStyle w:val="Heading3"/>
      </w:pPr>
      <w:r>
        <w:t>4.3 Harmonic Equilibrium</w:t>
      </w:r>
    </w:p>
    <w:p>
      <w:r>
        <w:t>Dynamic equilibrium is represented conceptually by ZNY. Stable configurations are proposed to persist because local harmonic relationships continuously adjust while preserving overall coherence.</w:t>
      </w:r>
    </w:p>
    <w:p>
      <w:pPr>
        <w:pStyle w:val="Heading3"/>
      </w:pPr>
      <w:r>
        <w:t>4.4 Harmonic Geometry</w:t>
      </w:r>
    </w:p>
    <w:p>
      <w:r>
        <w:t>Geometry is interpreted as an emergent description of harmonic relationships. Planar and spherical harmonic domains are introduced as complementary descriptions of coherent organisation within the proposed field.</w:t>
      </w:r>
    </w:p>
    <w:p>
      <w:pPr>
        <w:pStyle w:val="Heading3"/>
      </w:pPr>
      <w:r>
        <w:t>4.5 Resonance</w:t>
      </w:r>
    </w:p>
    <w:p>
      <w:r>
        <w:t>Resonance provides the proposed mechanism by which coherent regions exchange harmonic organisation. The framework suggests that resonance governs transitions between equilibrium states while preserving harmonic identity.</w:t>
      </w:r>
    </w:p>
    <w:p>
      <w:pPr>
        <w:pStyle w:val="Heading3"/>
      </w:pPr>
      <w:r>
        <w:t>4.6 Scatter-Field Redistribution</w:t>
      </w:r>
    </w:p>
    <w:p>
      <w:r>
        <w:t>Local disturbances are hypothesised to redistribute harmonic organisation rather than destroy it. Scatter-field processes therefore preserve the identity of coherent systems while allowing their internal harmonic relationships to evolve.</w:t>
      </w:r>
    </w:p>
    <w:p>
      <w:pPr>
        <w:pStyle w:val="Heading3"/>
      </w:pPr>
      <w:r>
        <w:t>4.7 Conceptual Notation</w:t>
      </w:r>
    </w:p>
    <w:p>
      <w:r>
        <w:t>The symbolic language introduced in previous chapters is extended through:</w:t>
        <w:br/>
        <w:br/>
        <w:t>H = Universal Harmonic</w:t>
        <w:br/>
        <w:t>ZNY = proposed equilibrium state</w:t>
        <w:br/>
        <w:t>Y − X = E = conceptual harmonic differential</w:t>
        <w:br/>
        <w:br/>
        <w:t>These expressions are definitions within the proposed framework rather than experimentally established equations.</w:t>
      </w:r>
    </w:p>
    <w:p>
      <w:pPr>
        <w:pStyle w:val="Heading3"/>
      </w:pPr>
      <w:r>
        <w:t>4.8 Relationship to Later Chapters</w:t>
      </w:r>
    </w:p>
    <w:p>
      <w:r>
        <w:t>The remaining chapters expand these concepts into harmonic gravitation, spatial harmonic lensing, quantum coherence, magnetic resonance and unified harmonic dynamics. The Universal Harmonic Field therefore provides the conceptual foundation for the remainder of the manuscript.</w:t>
      </w:r>
    </w:p>
    <w:p>
      <w:pPr>
        <w:pStyle w:val="Heading3"/>
      </w:pPr>
      <w:r>
        <w:t>4.9 Closing Remarks</w:t>
      </w:r>
    </w:p>
    <w:p>
      <w:r>
        <w:t>The Universal Harmonic Field serves as the central organising concept of UHT. Future development will require explicit mathematical formulation, comparison with established physical theories and experimentally testable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