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Chapter 16 – Theoretical Harmonic Equilibrium Medium</w:t>
      </w:r>
    </w:p>
    <w:p>
      <w:r>
        <w:rPr>
          <w:b/>
          <w:sz w:val="22"/>
        </w:rPr>
        <w:t>16.X Localized Harmonic Equilibrium</w:t>
        <w:br/>
      </w:r>
      <w:r>
        <w:rPr>
          <w:sz w:val="22"/>
        </w:rPr>
        <w:t>The following section presents a theoretical postulate within the Universal Harmonic Theory framework. It defines a proposed mechanism for harmonic equilibrium and is offered as a hypothesis for future mathematical development and experimental investigation.</w:t>
        <w:br/>
        <w:br/>
        <w:t>Within Universal Harmonic Theory, it is proposed that a sufficiently massive harmonic equilibrium medium may establish a localized region of coherent harmonic balance. In this model, the medium is not hypothesized to generate propulsion through conventional force or reaction. Rather, it establishes a stable harmonic equilibrium within the surrounding QV state, permitting coherent scatter-field propagation while preserving the continuity of the matter configuration.</w:t>
        <w:br/>
        <w:br/>
        <w:t>The geometry of the equilibrium medium is considered a fundamental parameter of the framework. Symmetrical configurations are hypothesized to maximize harmonic coherence by promoting uniform field distribution and reducing harmonic discontinuities. Consequently, the dimensions and geometry of the equilibrium medium are predicted to influence the stability and efficiency of the localized harmonic field.</w:t>
        <w:br/>
        <w:br/>
        <w:t>The framework further proposes that matter does not traverse space through conventional acceleration. Instead, matter remains coherent while its spacetime relationship is hypothesized to evolve through harmonic equilibrium. In this interpretation, the governing parameter is not translational velocity but the establishment and maintenance of harmonic coherence.</w:t>
      </w:r>
    </w:p>
    <w:p>
      <w:pPr>
        <w:pStyle w:val="Heading2"/>
      </w:pPr>
      <w:r>
        <w:rPr>
          <w:sz w:val="22"/>
        </w:rPr>
        <w:t>Framework Relations</w:t>
      </w:r>
    </w:p>
    <w:p>
      <w:r>
        <w:rPr>
          <w:sz w:val="22"/>
        </w:rPr>
        <w:t>QV ≡ (ZNE ⊕ ZNY)_(C,G)</w:t>
      </w:r>
    </w:p>
    <w:p>
      <w:r>
        <w:rPr>
          <w:sz w:val="22"/>
        </w:rPr>
        <w:t>P_S(QV) = (ZNE ⊕ ZNY)_(C,G)</w:t>
      </w:r>
    </w:p>
    <w:p>
      <w:pPr>
        <w:pStyle w:val="Heading2"/>
      </w:pPr>
      <w:r>
        <w:rPr>
          <w:sz w:val="22"/>
        </w:rPr>
        <w:t>Definitions</w:t>
      </w:r>
    </w:p>
    <w:p>
      <w:pPr>
        <w:pStyle w:val="ListBullet"/>
      </w:pPr>
      <w:r>
        <w:rPr>
          <w:sz w:val="22"/>
        </w:rPr>
        <w:t>QV = Underlying harmonic state</w:t>
      </w:r>
    </w:p>
    <w:p>
      <w:pPr>
        <w:pStyle w:val="ListBullet"/>
      </w:pPr>
      <w:r>
        <w:rPr>
          <w:sz w:val="22"/>
        </w:rPr>
        <w:t>ZNE = Zero Neutral Equilibrium</w:t>
      </w:r>
    </w:p>
    <w:p>
      <w:pPr>
        <w:pStyle w:val="ListBullet"/>
      </w:pPr>
      <w:r>
        <w:rPr>
          <w:sz w:val="22"/>
        </w:rPr>
        <w:t>ZNY = Harmonic balancing relationship</w:t>
      </w:r>
    </w:p>
    <w:p>
      <w:pPr>
        <w:pStyle w:val="ListBullet"/>
      </w:pPr>
      <w:r>
        <w:rPr>
          <w:sz w:val="22"/>
        </w:rPr>
        <w:t>⊕ = Harmonic coupling operator</w:t>
      </w:r>
    </w:p>
    <w:p>
      <w:pPr>
        <w:pStyle w:val="ListBullet"/>
      </w:pPr>
      <w:r>
        <w:rPr>
          <w:sz w:val="22"/>
        </w:rPr>
        <w:t>C,G = C–G harmonic resonance</w:t>
      </w:r>
    </w:p>
    <w:p>
      <w:pPr>
        <w:pStyle w:val="ListBullet"/>
      </w:pPr>
      <w:r>
        <w:rPr>
          <w:sz w:val="22"/>
        </w:rPr>
        <w:t>P_S = Coherent scatter-field propagation</w:t>
      </w:r>
    </w:p>
    <w:p>
      <w:r>
        <w:rPr>
          <w:sz w:val="22"/>
        </w:rPr>
        <w:t>These postulates define the internal theoretical structure of Universal Harmonic Theory and are intended as hypotheses for future mathematical refinement and empirical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