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Chapter Insert: Relationship to Contemporary Computational Physics</w:t>
      </w:r>
    </w:p>
    <w:p>
      <w:r>
        <w:rPr>
          <w:b/>
          <w:sz w:val="22"/>
        </w:rPr>
        <w:t>Editorial Note</w:t>
        <w:br/>
      </w:r>
      <w:r>
        <w:rPr>
          <w:sz w:val="22"/>
        </w:rPr>
        <w:t>This section compares the proposed Universal Harmonic Theory framework with established computational materials physics. It is intended to distinguish the theoretical scope of the framework and does not imply experimental validation.</w:t>
      </w:r>
    </w:p>
    <w:p>
      <w:pPr>
        <w:pStyle w:val="Heading2"/>
      </w:pPr>
      <w:r>
        <w:rPr>
          <w:sz w:val="22"/>
        </w:rPr>
        <w:t>Relationship to Contemporary Computational Physics</w:t>
      </w:r>
    </w:p>
    <w:p>
      <w:r>
        <w:rPr>
          <w:sz w:val="22"/>
        </w:rPr>
        <w:t>Recent developments in computational physics have demonstrated that machine-learning methods can construct harmonic interatomic potentials for predicting the vibrational behaviour of crystalline solids. Within established physics, these harmonic models describe atomic vibrations and related material properties such as phonons and thermal transport.</w:t>
      </w:r>
    </w:p>
    <w:p>
      <w:r>
        <w:rPr>
          <w:sz w:val="22"/>
        </w:rPr>
        <w:t>Universal Harmonic Theory proposes a broader theoretical interpretation. Within this framework, harmonic relationships are hypothesized to represent a foundational organizing principle from which quantum behaviour, coherent field dynamics, and gravitational interactions emerge. Accordingly, harmonic behaviour observed in crystalline materials is interpreted as one manifestation of a more general harmonic framework rather than its origin.</w:t>
      </w:r>
    </w:p>
    <w:p>
      <w:pPr>
        <w:pStyle w:val="Heading2"/>
      </w:pPr>
      <w:r>
        <w:rPr>
          <w:sz w:val="22"/>
        </w:rPr>
        <w:t>Comparative Summary</w:t>
      </w:r>
    </w:p>
    <w:tbl>
      <w:tblPr>
        <w:tblStyle w:val="TableGrid"/>
        <w:tblW w:type="auto" w:w="0"/>
        <w:tblLook w:firstColumn="1" w:firstRow="1" w:lastColumn="0" w:lastRow="0" w:noHBand="0" w:noVBand="1" w:val="04A0"/>
      </w:tblPr>
      <w:tblGrid>
        <w:gridCol w:w="4320"/>
        <w:gridCol w:w="4320"/>
      </w:tblGrid>
      <w:tr>
        <w:tc>
          <w:tcPr>
            <w:tcW w:type="dxa" w:w="4320"/>
          </w:tcPr>
          <w:p>
            <w:r>
              <w:t>Established Computational Physics</w:t>
            </w:r>
          </w:p>
        </w:tc>
        <w:tc>
          <w:tcPr>
            <w:tcW w:type="dxa" w:w="4320"/>
          </w:tcPr>
          <w:p>
            <w:r>
              <w:t>Universal Harmonic Theory (Proposed)</w:t>
            </w:r>
          </w:p>
        </w:tc>
      </w:tr>
      <w:tr>
        <w:tc>
          <w:tcPr>
            <w:tcW w:type="dxa" w:w="4320"/>
          </w:tcPr>
          <w:p>
            <w:r>
              <w:t>Harmonic models describe atomic vibrations.</w:t>
            </w:r>
          </w:p>
        </w:tc>
        <w:tc>
          <w:tcPr>
            <w:tcW w:type="dxa" w:w="4320"/>
          </w:tcPr>
          <w:p>
            <w:r>
              <w:t>Harmonic relationships are proposed as a foundational principle.</w:t>
            </w:r>
          </w:p>
        </w:tc>
      </w:tr>
      <w:tr>
        <w:tc>
          <w:tcPr>
            <w:tcW w:type="dxa" w:w="4320"/>
          </w:tcPr>
          <w:p>
            <w:r>
              <w:t>Machine learning fits interatomic potentials.</w:t>
            </w:r>
          </w:p>
        </w:tc>
        <w:tc>
          <w:tcPr>
            <w:tcW w:type="dxa" w:w="4320"/>
          </w:tcPr>
          <w:p>
            <w:r>
              <w:t>The framework defines theoretical harmonic postulates.</w:t>
            </w:r>
          </w:p>
        </w:tc>
      </w:tr>
      <w:tr>
        <w:tc>
          <w:tcPr>
            <w:tcW w:type="dxa" w:w="4320"/>
          </w:tcPr>
          <w:p>
            <w:r>
              <w:t>Applied to crystalline solids.</w:t>
            </w:r>
          </w:p>
        </w:tc>
        <w:tc>
          <w:tcPr>
            <w:tcW w:type="dxa" w:w="4320"/>
          </w:tcPr>
          <w:p>
            <w:r>
              <w:t>Proposed to extend to quantum and gravitational behaviour.</w:t>
            </w:r>
          </w:p>
        </w:tc>
      </w:tr>
    </w:tbl>
    <w:p>
      <w:r>
        <w:rPr>
          <w:sz w:val="22"/>
        </w:rPr>
        <w:t>This comparison is intended to distinguish the proposed framework from established computational models while identifying possible areas for future mathematical development and empirical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